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83B0E" w14:textId="77777777" w:rsidR="005A02B9" w:rsidRPr="00E10118" w:rsidRDefault="00BA26A3" w:rsidP="00375CC4">
      <w:pPr>
        <w:spacing w:after="120" w:line="269" w:lineRule="auto"/>
        <w:rPr>
          <w:rFonts w:cstheme="minorHAnsi"/>
          <w:b/>
        </w:rPr>
      </w:pPr>
      <w:r w:rsidRPr="00E10118">
        <w:rPr>
          <w:rFonts w:cstheme="minorHAnsi"/>
          <w:b/>
        </w:rPr>
        <w:t>The COVID Impact Survey: Methodological Approach</w:t>
      </w:r>
    </w:p>
    <w:p w14:paraId="198E5EC8" w14:textId="60D7AC5B" w:rsidR="00BA26A3" w:rsidRPr="00E10118" w:rsidRDefault="00BA26A3" w:rsidP="00375CC4">
      <w:pPr>
        <w:spacing w:after="120" w:line="269" w:lineRule="auto"/>
        <w:rPr>
          <w:rFonts w:cstheme="minorHAnsi"/>
        </w:rPr>
      </w:pPr>
      <w:r w:rsidRPr="00E10118">
        <w:rPr>
          <w:rFonts w:cstheme="minorHAnsi"/>
        </w:rPr>
        <w:t xml:space="preserve">The COVID-19 Household Impact Survey is a philanthropic effort to provide national and regional statistics about physical health, mental health, economic security, and social dynamics in the United States. The COVID Impact Survey is funded by the Data Foundation. NORC at the University of Chicago is conducting the survey. </w:t>
      </w:r>
    </w:p>
    <w:p w14:paraId="05D6D834" w14:textId="374DA4B1" w:rsidR="00BA26A3" w:rsidRPr="00E10118" w:rsidRDefault="00BA26A3" w:rsidP="00375CC4">
      <w:pPr>
        <w:spacing w:after="120" w:line="269" w:lineRule="auto"/>
        <w:rPr>
          <w:rFonts w:cstheme="minorHAnsi"/>
        </w:rPr>
      </w:pPr>
      <w:r w:rsidRPr="00E10118">
        <w:rPr>
          <w:rFonts w:cstheme="minorHAnsi"/>
        </w:rPr>
        <w:t xml:space="preserve">The survey is designed to provide </w:t>
      </w:r>
      <w:r w:rsidR="00116DC4" w:rsidRPr="00E10118">
        <w:rPr>
          <w:rFonts w:cstheme="minorHAnsi"/>
        </w:rPr>
        <w:t xml:space="preserve">weekly </w:t>
      </w:r>
      <w:r w:rsidRPr="00E10118">
        <w:rPr>
          <w:rFonts w:cstheme="minorHAnsi"/>
        </w:rPr>
        <w:t>estimates of the U.S. adult household population nationwide and for 18 regional areas including 10 states (CA, CO, FL, LA, MN, MO, MT, NY, OR, TX)</w:t>
      </w:r>
      <w:r w:rsidR="009D77EB" w:rsidRPr="00E10118">
        <w:rPr>
          <w:rFonts w:cstheme="minorHAnsi"/>
        </w:rPr>
        <w:t xml:space="preserve"> and </w:t>
      </w:r>
      <w:r w:rsidRPr="00E10118">
        <w:rPr>
          <w:rFonts w:cstheme="minorHAnsi"/>
        </w:rPr>
        <w:t xml:space="preserve">8 Metropolitan Statistical Areas (Atlanta, Baltimore, Birmingham, Chicago, Cleveland, Columbus, Phoenix, Pittsburgh). </w:t>
      </w:r>
      <w:r w:rsidR="00116DC4" w:rsidRPr="00E10118">
        <w:rPr>
          <w:rFonts w:cstheme="minorHAnsi"/>
        </w:rPr>
        <w:t xml:space="preserve">Data collection is occurring over a week long period. Interviews are conducted in English and Spanish. Respondents </w:t>
      </w:r>
      <w:r w:rsidR="00E552C9" w:rsidRPr="00E10118">
        <w:rPr>
          <w:rFonts w:cstheme="minorHAnsi"/>
        </w:rPr>
        <w:t xml:space="preserve">are offered </w:t>
      </w:r>
      <w:r w:rsidR="00116DC4" w:rsidRPr="00E10118">
        <w:rPr>
          <w:rFonts w:cstheme="minorHAnsi"/>
        </w:rPr>
        <w:t xml:space="preserve">a small monetary incentive for completing the survey. The questionnaire is available at: </w:t>
      </w:r>
      <w:hyperlink r:id="rId7" w:history="1">
        <w:r w:rsidR="00116DC4" w:rsidRPr="00E10118">
          <w:rPr>
            <w:rStyle w:val="Hyperlink"/>
            <w:rFonts w:cstheme="minorHAnsi"/>
          </w:rPr>
          <w:t>https://www.covid-impact.org/</w:t>
        </w:r>
      </w:hyperlink>
      <w:r w:rsidR="00116DC4" w:rsidRPr="00E10118">
        <w:rPr>
          <w:rFonts w:cstheme="minorHAnsi"/>
        </w:rPr>
        <w:t xml:space="preserve">. </w:t>
      </w:r>
      <w:r w:rsidR="00621622" w:rsidRPr="00E10118">
        <w:rPr>
          <w:rFonts w:cstheme="minorHAnsi"/>
        </w:rPr>
        <w:t xml:space="preserve">And for additional information on the study, please contact </w:t>
      </w:r>
      <w:hyperlink r:id="rId8" w:history="1">
        <w:r w:rsidR="00621622" w:rsidRPr="00E10118">
          <w:rPr>
            <w:rStyle w:val="Hyperlink"/>
            <w:rFonts w:cstheme="minorHAnsi"/>
          </w:rPr>
          <w:t>covidimpactsurvey@datafoundation.org</w:t>
        </w:r>
      </w:hyperlink>
      <w:r w:rsidR="00621622" w:rsidRPr="00E10118">
        <w:rPr>
          <w:rFonts w:cstheme="minorHAnsi"/>
        </w:rPr>
        <w:t xml:space="preserve">. </w:t>
      </w:r>
    </w:p>
    <w:p w14:paraId="1E31098D" w14:textId="77777777" w:rsidR="00116DC4" w:rsidRPr="00E10118" w:rsidRDefault="00116DC4" w:rsidP="00375CC4">
      <w:pPr>
        <w:spacing w:after="120" w:line="269" w:lineRule="auto"/>
        <w:rPr>
          <w:rFonts w:cstheme="minorHAnsi"/>
          <w:u w:val="single"/>
        </w:rPr>
      </w:pPr>
      <w:r w:rsidRPr="00E10118">
        <w:rPr>
          <w:rFonts w:cstheme="minorHAnsi"/>
          <w:u w:val="single"/>
        </w:rPr>
        <w:t>National Survey</w:t>
      </w:r>
    </w:p>
    <w:p w14:paraId="5A4824B6" w14:textId="77777777" w:rsidR="00116DC4" w:rsidRPr="00E10118" w:rsidRDefault="00116DC4" w:rsidP="00375CC4">
      <w:pPr>
        <w:spacing w:after="120" w:line="269" w:lineRule="auto"/>
        <w:rPr>
          <w:rFonts w:cstheme="minorHAnsi"/>
        </w:rPr>
      </w:pPr>
      <w:r w:rsidRPr="00E10118">
        <w:rPr>
          <w:rFonts w:cstheme="minorHAnsi"/>
        </w:rPr>
        <w:t xml:space="preserve">Data for the national estimates are collected using the AmeriSpeak Panel®, NORC’s probability-based panel designed to be representative of the U.S. household population. During the initial recruitment phase of the AmeriSpeak panel, randomly selected U.S. households were sampled with a known, non-zero probability of selection from the NORC National Sample Frame and then contacted by U.S. mail, email, telephone, and field interviewers (face-to-face). The panel provides sample coverage of approximately 97% of the U.S. household population. Those excluded from the sample include people </w:t>
      </w:r>
      <w:proofErr w:type="gramStart"/>
      <w:r w:rsidRPr="00E10118">
        <w:rPr>
          <w:rFonts w:cstheme="minorHAnsi"/>
        </w:rPr>
        <w:t>with</w:t>
      </w:r>
      <w:proofErr w:type="gramEnd"/>
      <w:r w:rsidRPr="00E10118">
        <w:rPr>
          <w:rFonts w:cstheme="minorHAnsi"/>
        </w:rPr>
        <w:t xml:space="preserve"> P.O. Box only addresses, some addresses not listed in the USPS Delivery Sequence File, and some newly constructed dwellings. </w:t>
      </w:r>
    </w:p>
    <w:p w14:paraId="1CB546B1" w14:textId="64D3DAF5" w:rsidR="00116DC4" w:rsidRPr="00E10118" w:rsidRDefault="00116DC4" w:rsidP="00375CC4">
      <w:pPr>
        <w:spacing w:after="120" w:line="269" w:lineRule="auto"/>
        <w:rPr>
          <w:rFonts w:cstheme="minorHAnsi"/>
        </w:rPr>
      </w:pPr>
      <w:r w:rsidRPr="00E10118">
        <w:rPr>
          <w:rFonts w:cstheme="minorHAnsi"/>
        </w:rPr>
        <w:t>Interviews are conducted with adults age 18 and over representing the 50 states and the District of Columbia. Panel members are</w:t>
      </w:r>
      <w:r w:rsidR="0006385C" w:rsidRPr="00E10118">
        <w:rPr>
          <w:rFonts w:cstheme="minorHAnsi"/>
        </w:rPr>
        <w:t xml:space="preserve"> randomly drawn from AmeriSpeak. In households with more than one adult panel member, only one is selected at random for the sample. </w:t>
      </w:r>
      <w:r w:rsidR="00271CF5" w:rsidRPr="00E10118">
        <w:rPr>
          <w:rFonts w:cstheme="minorHAnsi"/>
        </w:rPr>
        <w:t xml:space="preserve">Invited panel members may complete the survey online or by telephone with an NORC telephone interviewer.  </w:t>
      </w:r>
    </w:p>
    <w:p w14:paraId="7165AF57" w14:textId="2C25F059" w:rsidR="00116DC4" w:rsidRPr="00E10118" w:rsidRDefault="00116DC4" w:rsidP="00375CC4">
      <w:pPr>
        <w:spacing w:after="120" w:line="269" w:lineRule="auto"/>
        <w:rPr>
          <w:rFonts w:cstheme="minorHAnsi"/>
        </w:rPr>
      </w:pPr>
      <w:r w:rsidRPr="00E10118">
        <w:rPr>
          <w:rFonts w:cstheme="minorHAnsi"/>
        </w:rPr>
        <w:t>Once the sample has been selected and fielded, and all the study data have been collected and made final, a</w:t>
      </w:r>
      <w:r w:rsidR="00E552C9" w:rsidRPr="00E10118">
        <w:rPr>
          <w:rFonts w:cstheme="minorHAnsi"/>
        </w:rPr>
        <w:t>n iterative raking process</w:t>
      </w:r>
      <w:r w:rsidRPr="00E10118">
        <w:rPr>
          <w:rFonts w:cstheme="minorHAnsi"/>
        </w:rPr>
        <w:t xml:space="preserve"> is used to adjust for any survey nonresponse as well as any </w:t>
      </w:r>
      <w:proofErr w:type="spellStart"/>
      <w:r w:rsidRPr="00E10118">
        <w:rPr>
          <w:rFonts w:cstheme="minorHAnsi"/>
        </w:rPr>
        <w:t>noncoverage</w:t>
      </w:r>
      <w:proofErr w:type="spellEnd"/>
      <w:r w:rsidRPr="00E10118">
        <w:rPr>
          <w:rFonts w:cstheme="minorHAnsi"/>
        </w:rPr>
        <w:t xml:space="preserve"> or under and oversampling resulting from the study specific sample design. </w:t>
      </w:r>
      <w:r w:rsidR="00E552C9" w:rsidRPr="00E10118">
        <w:rPr>
          <w:rFonts w:cstheme="minorHAnsi"/>
        </w:rPr>
        <w:t xml:space="preserve">Raking </w:t>
      </w:r>
      <w:r w:rsidRPr="00E10118">
        <w:rPr>
          <w:rFonts w:cstheme="minorHAnsi"/>
        </w:rPr>
        <w:t xml:space="preserve">variables include age, gender, census division, race/ethnicity, education, and </w:t>
      </w:r>
      <w:r w:rsidR="00600835" w:rsidRPr="00E10118">
        <w:rPr>
          <w:rFonts w:cstheme="minorHAnsi"/>
        </w:rPr>
        <w:t>county groupings based on county level counts of the number of COVID-19 deaths</w:t>
      </w:r>
      <w:r w:rsidRPr="00E10118">
        <w:rPr>
          <w:rFonts w:cstheme="minorHAnsi"/>
        </w:rPr>
        <w:t xml:space="preserve">. </w:t>
      </w:r>
      <w:r w:rsidR="00271CF5" w:rsidRPr="00E10118">
        <w:rPr>
          <w:rFonts w:cstheme="minorHAnsi"/>
        </w:rPr>
        <w:t>Demographic w</w:t>
      </w:r>
      <w:r w:rsidRPr="00E10118">
        <w:rPr>
          <w:rFonts w:cstheme="minorHAnsi"/>
        </w:rPr>
        <w:t>eighting variables were obtained from the 20</w:t>
      </w:r>
      <w:r w:rsidR="00A2599F" w:rsidRPr="00E10118">
        <w:rPr>
          <w:rFonts w:cstheme="minorHAnsi"/>
        </w:rPr>
        <w:t>20</w:t>
      </w:r>
      <w:r w:rsidRPr="00E10118">
        <w:rPr>
          <w:rFonts w:cstheme="minorHAnsi"/>
        </w:rPr>
        <w:t xml:space="preserve"> </w:t>
      </w:r>
      <w:r w:rsidR="00A2599F" w:rsidRPr="00E10118">
        <w:rPr>
          <w:rFonts w:cstheme="minorHAnsi"/>
        </w:rPr>
        <w:t>Current Population</w:t>
      </w:r>
      <w:r w:rsidR="00600835" w:rsidRPr="00E10118">
        <w:rPr>
          <w:rFonts w:cstheme="minorHAnsi"/>
        </w:rPr>
        <w:t xml:space="preserve"> </w:t>
      </w:r>
      <w:r w:rsidRPr="00E10118">
        <w:rPr>
          <w:rFonts w:cstheme="minorHAnsi"/>
        </w:rPr>
        <w:t>Survey.</w:t>
      </w:r>
      <w:r w:rsidR="00271CF5" w:rsidRPr="00E10118">
        <w:rPr>
          <w:rFonts w:cstheme="minorHAnsi"/>
        </w:rPr>
        <w:t xml:space="preserve"> The count of COVID-19 deaths by county was obtained from USA Facts. </w:t>
      </w:r>
      <w:r w:rsidRPr="00E10118">
        <w:rPr>
          <w:rFonts w:cstheme="minorHAnsi"/>
        </w:rPr>
        <w:t>The weighted data reflect the U.S. population of adults age 18 and over.</w:t>
      </w:r>
    </w:p>
    <w:p w14:paraId="308D621E" w14:textId="46CCBE96" w:rsidR="00621622" w:rsidRPr="00E10118" w:rsidRDefault="00621622" w:rsidP="00375CC4">
      <w:pPr>
        <w:spacing w:after="120" w:line="269" w:lineRule="auto"/>
        <w:rPr>
          <w:rFonts w:cstheme="minorHAnsi"/>
        </w:rPr>
      </w:pPr>
      <w:r w:rsidRPr="00E10118">
        <w:rPr>
          <w:rFonts w:cstheme="minorHAnsi"/>
          <w:u w:val="single"/>
        </w:rPr>
        <w:t>Region Surveys</w:t>
      </w:r>
    </w:p>
    <w:p w14:paraId="350FF326" w14:textId="682496E8" w:rsidR="009D77EB" w:rsidRPr="00E10118" w:rsidRDefault="00621622" w:rsidP="00375CC4">
      <w:pPr>
        <w:spacing w:after="120" w:line="269" w:lineRule="auto"/>
        <w:rPr>
          <w:rFonts w:cstheme="minorHAnsi"/>
        </w:rPr>
      </w:pPr>
      <w:r w:rsidRPr="00E10118">
        <w:rPr>
          <w:rFonts w:cstheme="minorHAnsi"/>
        </w:rPr>
        <w:t xml:space="preserve">Data for the regional estimates are collected using a multi-mode address-based (or ABS) approach that allows residents of each area to complete the interview via web or with an NORC telephone interviewer. The sampling frame is based on an extract of the U.S. Postal Service delivery-sequence file (DSF). The DSF provides sample coverage of approximately 97% of the U.S. household population. Those excluded from the sample include people with P.O. Box only addresses, some addresses not listed in the USPS </w:t>
      </w:r>
      <w:r w:rsidRPr="00E10118">
        <w:rPr>
          <w:rFonts w:cstheme="minorHAnsi"/>
        </w:rPr>
        <w:lastRenderedPageBreak/>
        <w:t xml:space="preserve">Delivery Sequence File, and some newly constructed dwellings. </w:t>
      </w:r>
      <w:r w:rsidR="009D77EB" w:rsidRPr="00E10118">
        <w:rPr>
          <w:rFonts w:cstheme="minorHAnsi"/>
        </w:rPr>
        <w:t xml:space="preserve">Addresses are stratified by the Census propensity to respond metric and then randomly selected within each target region. </w:t>
      </w:r>
    </w:p>
    <w:p w14:paraId="37B85A2F" w14:textId="1B417237" w:rsidR="00621622" w:rsidRPr="00E10118" w:rsidRDefault="00621622" w:rsidP="00375CC4">
      <w:pPr>
        <w:spacing w:after="120" w:line="269" w:lineRule="auto"/>
        <w:rPr>
          <w:rFonts w:cstheme="minorHAnsi"/>
        </w:rPr>
      </w:pPr>
      <w:r w:rsidRPr="00E10118">
        <w:rPr>
          <w:rFonts w:cstheme="minorHAnsi"/>
        </w:rPr>
        <w:t xml:space="preserve">All sampled households are mailed a postcard inviting them to complete the survey either online using a unique PIN or via telephone by calling a toll-free number. Postcards are addressed </w:t>
      </w:r>
      <w:r w:rsidR="00031192" w:rsidRPr="00E10118">
        <w:rPr>
          <w:rFonts w:cstheme="minorHAnsi"/>
        </w:rPr>
        <w:t xml:space="preserve">to: </w:t>
      </w:r>
      <w:r w:rsidRPr="00E10118">
        <w:rPr>
          <w:rFonts w:cstheme="minorHAnsi"/>
        </w:rPr>
        <w:t>[</w:t>
      </w:r>
      <w:r w:rsidR="00031192" w:rsidRPr="00E10118">
        <w:rPr>
          <w:rFonts w:cstheme="minorHAnsi"/>
        </w:rPr>
        <w:t>CITY</w:t>
      </w:r>
      <w:r w:rsidRPr="00E10118">
        <w:rPr>
          <w:rFonts w:cstheme="minorHAnsi"/>
        </w:rPr>
        <w:t xml:space="preserve">] </w:t>
      </w:r>
      <w:r w:rsidR="00031192" w:rsidRPr="00E10118">
        <w:rPr>
          <w:rFonts w:cstheme="minorHAnsi"/>
        </w:rPr>
        <w:t>HOUSEHOLD</w:t>
      </w:r>
      <w:r w:rsidRPr="00E10118">
        <w:rPr>
          <w:rFonts w:cstheme="minorHAnsi"/>
        </w:rPr>
        <w:t>.</w:t>
      </w:r>
      <w:r w:rsidR="009D77EB" w:rsidRPr="00E10118">
        <w:rPr>
          <w:rFonts w:cstheme="minorHAnsi"/>
        </w:rPr>
        <w:t xml:space="preserve"> </w:t>
      </w:r>
      <w:r w:rsidR="00344794" w:rsidRPr="00E10118">
        <w:rPr>
          <w:rFonts w:cstheme="minorHAnsi"/>
        </w:rPr>
        <w:t xml:space="preserve">There is no within household selection for households with multiple adults. </w:t>
      </w:r>
      <w:r w:rsidR="009D77EB" w:rsidRPr="00E10118">
        <w:rPr>
          <w:rFonts w:cstheme="minorHAnsi"/>
        </w:rPr>
        <w:t>Interviews are conducted wit</w:t>
      </w:r>
      <w:r w:rsidR="0006385C" w:rsidRPr="00E10118">
        <w:rPr>
          <w:rFonts w:cstheme="minorHAnsi"/>
        </w:rPr>
        <w:t>h adults age 18 and over.</w:t>
      </w:r>
    </w:p>
    <w:p w14:paraId="32DC269E" w14:textId="1D83DFA7" w:rsidR="002D4A0A" w:rsidRPr="00E10118" w:rsidRDefault="002D4A0A" w:rsidP="00375CC4">
      <w:pPr>
        <w:spacing w:after="120" w:line="269" w:lineRule="auto"/>
        <w:rPr>
          <w:rFonts w:cstheme="minorHAnsi"/>
        </w:rPr>
      </w:pPr>
      <w:r w:rsidRPr="00E10118">
        <w:rPr>
          <w:rFonts w:cstheme="minorHAnsi"/>
        </w:rPr>
        <w:t>In four states (CA, FL, NY, and TX), the AmeriSpeak panel design yields representative state samples. As such, AmeriSpeak panelists who reside in each of these four states are combined with the ABS sample to generate region level estimates. These panelists’ sampling weights are then raked with the ABS to external population targets for each state.</w:t>
      </w:r>
    </w:p>
    <w:p w14:paraId="4E677627" w14:textId="5B2D537D" w:rsidR="009D77EB" w:rsidRPr="00E10118" w:rsidRDefault="009D77EB" w:rsidP="00375CC4">
      <w:pPr>
        <w:spacing w:after="120" w:line="269" w:lineRule="auto"/>
        <w:rPr>
          <w:rFonts w:cstheme="minorHAnsi"/>
        </w:rPr>
      </w:pPr>
      <w:r w:rsidRPr="00E10118">
        <w:rPr>
          <w:rFonts w:cstheme="minorHAnsi"/>
        </w:rPr>
        <w:t>Once the sample has been selected and fielded, and all the study data have been collected and made final, a</w:t>
      </w:r>
      <w:r w:rsidR="00E552C9" w:rsidRPr="00E10118">
        <w:rPr>
          <w:rFonts w:cstheme="minorHAnsi"/>
        </w:rPr>
        <w:t xml:space="preserve">n iterative raking </w:t>
      </w:r>
      <w:r w:rsidRPr="00E10118">
        <w:rPr>
          <w:rFonts w:cstheme="minorHAnsi"/>
        </w:rPr>
        <w:t xml:space="preserve">process is used to adjust for any survey nonresponse as well as any </w:t>
      </w:r>
      <w:proofErr w:type="spellStart"/>
      <w:r w:rsidRPr="00E10118">
        <w:rPr>
          <w:rFonts w:cstheme="minorHAnsi"/>
        </w:rPr>
        <w:t>noncoverage</w:t>
      </w:r>
      <w:proofErr w:type="spellEnd"/>
      <w:r w:rsidRPr="00E10118">
        <w:rPr>
          <w:rFonts w:cstheme="minorHAnsi"/>
        </w:rPr>
        <w:t xml:space="preserve"> or under and oversampling. </w:t>
      </w:r>
      <w:r w:rsidR="00E552C9" w:rsidRPr="00E10118">
        <w:rPr>
          <w:rFonts w:cstheme="minorHAnsi"/>
        </w:rPr>
        <w:t xml:space="preserve">Raking </w:t>
      </w:r>
      <w:r w:rsidRPr="00E10118">
        <w:rPr>
          <w:rFonts w:cstheme="minorHAnsi"/>
        </w:rPr>
        <w:t>variables include age, gender, race/ethnicity, education, and county</w:t>
      </w:r>
      <w:r w:rsidR="00600835" w:rsidRPr="00E10118">
        <w:rPr>
          <w:rFonts w:cstheme="minorHAnsi"/>
        </w:rPr>
        <w:t xml:space="preserve"> groupings based on county</w:t>
      </w:r>
      <w:r w:rsidRPr="00E10118">
        <w:rPr>
          <w:rFonts w:cstheme="minorHAnsi"/>
        </w:rPr>
        <w:t xml:space="preserve"> level counts of the number of COVID-19 deaths. Demographic weighting variables were obtained from the 2018 </w:t>
      </w:r>
      <w:r w:rsidR="00600835" w:rsidRPr="00E10118">
        <w:rPr>
          <w:rFonts w:cstheme="minorHAnsi"/>
        </w:rPr>
        <w:t>American Community</w:t>
      </w:r>
      <w:r w:rsidRPr="00E10118">
        <w:rPr>
          <w:rFonts w:cstheme="minorHAnsi"/>
        </w:rPr>
        <w:t xml:space="preserve"> Survey. The count of COVID-19 deaths by county was obtained from USA Facts. The weighted data reflect the population of adults age 18 and over in each region.</w:t>
      </w:r>
    </w:p>
    <w:p w14:paraId="68C23B58" w14:textId="77777777" w:rsidR="001D4835" w:rsidRPr="00191D45" w:rsidRDefault="001D4835" w:rsidP="001D4835">
      <w:pPr>
        <w:rPr>
          <w:u w:val="single"/>
        </w:rPr>
      </w:pPr>
      <w:r>
        <w:rPr>
          <w:u w:val="single"/>
        </w:rPr>
        <w:t>A Note on Applying the Weights</w:t>
      </w:r>
    </w:p>
    <w:p w14:paraId="7E6B8B16" w14:textId="0040D0AE" w:rsidR="001D4835" w:rsidRDefault="001D4835" w:rsidP="001D4835">
      <w:pPr>
        <w:spacing w:line="269" w:lineRule="auto"/>
      </w:pPr>
      <w:r>
        <w:t xml:space="preserve">The dataset contains </w:t>
      </w:r>
      <w:r w:rsidR="00DF3950">
        <w:t>6</w:t>
      </w:r>
      <w:r>
        <w:t xml:space="preserve"> weight variables. When generating national estimates, the NATIONAL_WEIGHT or NATIONA</w:t>
      </w:r>
      <w:r w:rsidR="002F7B78">
        <w:t>L</w:t>
      </w:r>
      <w:r>
        <w:t>_WEIGHT_POP should be applied. When generating estimates for a geographic region, the REGION_WEIGHT or REGION_WEIGHT_POP should be applied. NATIONAL_WEIGHT and REGION_WEIGHT are normalized weights that total to the sample size. NATIONA</w:t>
      </w:r>
      <w:r w:rsidR="00DF3950">
        <w:t>L</w:t>
      </w:r>
      <w:r>
        <w:t>_WEIGHT_POP and REGION_WEIGHT_POP are population weights that total to size of the adult population nationally or in the regions. Any analyses that aggregate all 18 regions together should apply REGION_WEIGHT_POP.</w:t>
      </w:r>
      <w:r w:rsidR="00DF3950">
        <w:t xml:space="preserve"> When generating estimates combining the Wave 1</w:t>
      </w:r>
      <w:r w:rsidR="00AD1AED">
        <w:t xml:space="preserve">, </w:t>
      </w:r>
      <w:r w:rsidR="00DF3950">
        <w:t>Wave 2</w:t>
      </w:r>
      <w:r w:rsidR="00AD1AED">
        <w:t>, and Wave 3</w:t>
      </w:r>
      <w:r w:rsidR="00DF3950">
        <w:t xml:space="preserve"> samples, NAT_WGT_COMB_POP and REG_WGT_COMB_POP, should be used for analysis for national and regional samples, respectively. These weights have been </w:t>
      </w:r>
      <w:r w:rsidR="000F16D0">
        <w:t>adjusted</w:t>
      </w:r>
      <w:r w:rsidR="00DF3950">
        <w:t xml:space="preserve"> so that they represent the population when the Wave 1</w:t>
      </w:r>
      <w:r w:rsidR="00AD1AED">
        <w:t xml:space="preserve">, </w:t>
      </w:r>
      <w:r w:rsidR="00DF3950">
        <w:t>Wave 2</w:t>
      </w:r>
      <w:r w:rsidR="00AD1AED">
        <w:t>, and Wave 3</w:t>
      </w:r>
      <w:r w:rsidR="00DF3950">
        <w:t xml:space="preserve"> samples are combined.</w:t>
      </w:r>
    </w:p>
    <w:p w14:paraId="56963359" w14:textId="38B3E0F5" w:rsidR="00116DC4" w:rsidRPr="00E10118" w:rsidRDefault="00271CF5" w:rsidP="00375CC4">
      <w:pPr>
        <w:spacing w:after="120" w:line="269" w:lineRule="auto"/>
        <w:rPr>
          <w:rFonts w:cstheme="minorHAnsi"/>
          <w:u w:val="single"/>
        </w:rPr>
      </w:pPr>
      <w:r w:rsidRPr="00E10118">
        <w:rPr>
          <w:rFonts w:cstheme="minorHAnsi"/>
          <w:u w:val="single"/>
        </w:rPr>
        <w:t xml:space="preserve">Data Collection </w:t>
      </w:r>
      <w:r w:rsidR="009D77EB" w:rsidRPr="00E10118">
        <w:rPr>
          <w:rFonts w:cstheme="minorHAnsi"/>
          <w:u w:val="single"/>
        </w:rPr>
        <w:t>Metric</w:t>
      </w:r>
      <w:r w:rsidR="005E1BA2" w:rsidRPr="00E10118">
        <w:rPr>
          <w:rFonts w:cstheme="minorHAnsi"/>
          <w:u w:val="single"/>
        </w:rPr>
        <w:t>s</w:t>
      </w:r>
      <w:r w:rsidR="009D77EB" w:rsidRPr="00E10118">
        <w:rPr>
          <w:rFonts w:cstheme="minorHAnsi"/>
          <w:u w:val="single"/>
        </w:rPr>
        <w:t xml:space="preserve"> for </w:t>
      </w:r>
      <w:r w:rsidR="00A042A7">
        <w:rPr>
          <w:rFonts w:cstheme="minorHAnsi"/>
          <w:u w:val="single"/>
        </w:rPr>
        <w:t>May</w:t>
      </w:r>
      <w:r w:rsidR="00A042A7" w:rsidRPr="00E10118">
        <w:rPr>
          <w:rFonts w:cstheme="minorHAnsi"/>
          <w:u w:val="single"/>
        </w:rPr>
        <w:t xml:space="preserve"> </w:t>
      </w:r>
      <w:r w:rsidR="00A042A7">
        <w:rPr>
          <w:rFonts w:cstheme="minorHAnsi"/>
          <w:u w:val="single"/>
        </w:rPr>
        <w:t>4-10</w:t>
      </w:r>
      <w:r w:rsidRPr="00E10118">
        <w:rPr>
          <w:rFonts w:cstheme="minorHAnsi"/>
          <w:u w:val="single"/>
        </w:rPr>
        <w:t>, 2020</w:t>
      </w:r>
      <w:r w:rsidR="00801B90">
        <w:rPr>
          <w:rStyle w:val="FootnoteReference"/>
          <w:rFonts w:cstheme="minorHAnsi"/>
        </w:rPr>
        <w:footnoteReference w:id="1"/>
      </w:r>
    </w:p>
    <w:p w14:paraId="709E6614" w14:textId="77777777" w:rsidR="00D33516" w:rsidRPr="00E10118" w:rsidRDefault="00D33516" w:rsidP="00375CC4">
      <w:pPr>
        <w:pStyle w:val="ListParagraph"/>
        <w:spacing w:after="120" w:line="269" w:lineRule="auto"/>
        <w:ind w:left="0"/>
        <w:jc w:val="center"/>
        <w:rPr>
          <w:rFonts w:asciiTheme="minorHAnsi" w:hAnsiTheme="minorHAnsi" w:cstheme="minorHAnsi"/>
          <w:b/>
          <w:color w:val="ED7D31"/>
        </w:rPr>
      </w:pPr>
      <w:r w:rsidRPr="00E10118">
        <w:rPr>
          <w:rFonts w:asciiTheme="minorHAnsi" w:hAnsiTheme="minorHAnsi" w:cstheme="minorHAnsi"/>
          <w:b/>
          <w:color w:val="ED7D31"/>
        </w:rPr>
        <w:t>AmeriSpeak Sample Performance Summary</w:t>
      </w:r>
    </w:p>
    <w:tbl>
      <w:tblPr>
        <w:tblStyle w:val="TableGrid"/>
        <w:tblpPr w:leftFromText="180" w:rightFromText="180" w:vertAnchor="text" w:horzAnchor="margin" w:tblpXSpec="center" w:tblpY="157"/>
        <w:tblW w:w="9535" w:type="dxa"/>
        <w:tblLook w:val="04A0" w:firstRow="1" w:lastRow="0" w:firstColumn="1" w:lastColumn="0" w:noHBand="0" w:noVBand="1"/>
      </w:tblPr>
      <w:tblGrid>
        <w:gridCol w:w="1560"/>
        <w:gridCol w:w="1110"/>
        <w:gridCol w:w="1162"/>
        <w:gridCol w:w="987"/>
        <w:gridCol w:w="996"/>
        <w:gridCol w:w="1110"/>
        <w:gridCol w:w="1110"/>
        <w:gridCol w:w="1110"/>
        <w:gridCol w:w="1162"/>
        <w:gridCol w:w="792"/>
      </w:tblGrid>
      <w:tr w:rsidR="00D33516" w:rsidRPr="00375CC4" w14:paraId="239A3C91" w14:textId="77777777" w:rsidTr="0028570B">
        <w:trPr>
          <w:trHeight w:val="893"/>
        </w:trPr>
        <w:tc>
          <w:tcPr>
            <w:tcW w:w="0" w:type="auto"/>
            <w:vAlign w:val="bottom"/>
          </w:tcPr>
          <w:p w14:paraId="07BEFC63" w14:textId="77777777" w:rsidR="00D33516" w:rsidRPr="00375CC4" w:rsidRDefault="00D33516" w:rsidP="00375CC4">
            <w:pPr>
              <w:pStyle w:val="ListParagraph"/>
              <w:ind w:left="0"/>
              <w:rPr>
                <w:rFonts w:asciiTheme="minorHAnsi" w:hAnsiTheme="minorHAnsi" w:cstheme="minorHAnsi"/>
                <w:sz w:val="20"/>
                <w:szCs w:val="20"/>
              </w:rPr>
            </w:pPr>
            <w:r w:rsidRPr="00375CC4">
              <w:rPr>
                <w:rFonts w:asciiTheme="minorHAnsi" w:hAnsiTheme="minorHAnsi" w:cstheme="minorHAnsi"/>
                <w:sz w:val="20"/>
                <w:szCs w:val="20"/>
              </w:rPr>
              <w:t>Sampled/Invited Panelists</w:t>
            </w:r>
          </w:p>
        </w:tc>
        <w:tc>
          <w:tcPr>
            <w:tcW w:w="0" w:type="auto"/>
            <w:vAlign w:val="bottom"/>
          </w:tcPr>
          <w:p w14:paraId="44E523D4"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No. Screening Interviews Completed</w:t>
            </w:r>
          </w:p>
        </w:tc>
        <w:tc>
          <w:tcPr>
            <w:tcW w:w="0" w:type="auto"/>
            <w:vAlign w:val="bottom"/>
          </w:tcPr>
          <w:p w14:paraId="259C48E5"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Screener Completion Rate</w:t>
            </w:r>
          </w:p>
        </w:tc>
        <w:tc>
          <w:tcPr>
            <w:tcW w:w="0" w:type="auto"/>
            <w:vAlign w:val="bottom"/>
          </w:tcPr>
          <w:p w14:paraId="77A53A9A"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No. Panelists Eligible for Interview</w:t>
            </w:r>
          </w:p>
        </w:tc>
        <w:tc>
          <w:tcPr>
            <w:tcW w:w="0" w:type="auto"/>
            <w:vAlign w:val="bottom"/>
          </w:tcPr>
          <w:p w14:paraId="18C615BE"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Incidence / Eligibility Rate</w:t>
            </w:r>
          </w:p>
        </w:tc>
        <w:tc>
          <w:tcPr>
            <w:tcW w:w="0" w:type="auto"/>
            <w:vAlign w:val="bottom"/>
          </w:tcPr>
          <w:p w14:paraId="023CCDCE"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No. Survey Interviews Completed</w:t>
            </w:r>
          </w:p>
        </w:tc>
        <w:tc>
          <w:tcPr>
            <w:tcW w:w="0" w:type="auto"/>
            <w:vAlign w:val="bottom"/>
          </w:tcPr>
          <w:p w14:paraId="71AFF8A7"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No. Completed Online</w:t>
            </w:r>
          </w:p>
        </w:tc>
        <w:tc>
          <w:tcPr>
            <w:tcW w:w="0" w:type="auto"/>
            <w:vAlign w:val="bottom"/>
          </w:tcPr>
          <w:p w14:paraId="06E30DF1"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No. Completed by Phone</w:t>
            </w:r>
          </w:p>
        </w:tc>
        <w:tc>
          <w:tcPr>
            <w:tcW w:w="0" w:type="auto"/>
            <w:vAlign w:val="bottom"/>
          </w:tcPr>
          <w:p w14:paraId="4F9A96EA"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Interview Completion Rate</w:t>
            </w:r>
          </w:p>
        </w:tc>
        <w:tc>
          <w:tcPr>
            <w:tcW w:w="864" w:type="dxa"/>
            <w:vAlign w:val="bottom"/>
          </w:tcPr>
          <w:p w14:paraId="789C69F8"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AAPOR RR3</w:t>
            </w:r>
          </w:p>
        </w:tc>
      </w:tr>
      <w:tr w:rsidR="00D33516" w:rsidRPr="00375CC4" w14:paraId="1078E845" w14:textId="77777777" w:rsidTr="0028570B">
        <w:tc>
          <w:tcPr>
            <w:tcW w:w="0" w:type="auto"/>
          </w:tcPr>
          <w:p w14:paraId="6F1248AF" w14:textId="61DFB3AC" w:rsidR="00D33516" w:rsidRPr="00375CC4" w:rsidRDefault="00632253" w:rsidP="00375CC4">
            <w:pPr>
              <w:pStyle w:val="ListParagraph"/>
              <w:ind w:left="0"/>
              <w:jc w:val="center"/>
              <w:rPr>
                <w:rFonts w:asciiTheme="minorHAnsi" w:hAnsiTheme="minorHAnsi" w:cstheme="minorHAnsi"/>
                <w:sz w:val="20"/>
                <w:szCs w:val="20"/>
              </w:rPr>
            </w:pPr>
            <w:r>
              <w:rPr>
                <w:rFonts w:asciiTheme="minorHAnsi" w:hAnsiTheme="minorHAnsi" w:cstheme="minorHAnsi"/>
                <w:sz w:val="20"/>
                <w:szCs w:val="20"/>
              </w:rPr>
              <w:t>8,570</w:t>
            </w:r>
          </w:p>
        </w:tc>
        <w:tc>
          <w:tcPr>
            <w:tcW w:w="0" w:type="auto"/>
          </w:tcPr>
          <w:p w14:paraId="2B7B62C1"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N/A</w:t>
            </w:r>
          </w:p>
        </w:tc>
        <w:tc>
          <w:tcPr>
            <w:tcW w:w="0" w:type="auto"/>
          </w:tcPr>
          <w:p w14:paraId="37883F49"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N/A</w:t>
            </w:r>
          </w:p>
        </w:tc>
        <w:tc>
          <w:tcPr>
            <w:tcW w:w="0" w:type="auto"/>
          </w:tcPr>
          <w:p w14:paraId="00F09DB4"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N/A</w:t>
            </w:r>
          </w:p>
        </w:tc>
        <w:tc>
          <w:tcPr>
            <w:tcW w:w="0" w:type="auto"/>
          </w:tcPr>
          <w:p w14:paraId="29DEAF20" w14:textId="77777777" w:rsidR="00D33516" w:rsidRPr="00375CC4" w:rsidRDefault="00D33516" w:rsidP="00375CC4">
            <w:pPr>
              <w:pStyle w:val="ListParagraph"/>
              <w:ind w:left="0"/>
              <w:jc w:val="center"/>
              <w:rPr>
                <w:rFonts w:asciiTheme="minorHAnsi" w:hAnsiTheme="minorHAnsi" w:cstheme="minorHAnsi"/>
                <w:sz w:val="20"/>
                <w:szCs w:val="20"/>
              </w:rPr>
            </w:pPr>
            <w:r w:rsidRPr="00375CC4">
              <w:rPr>
                <w:rFonts w:asciiTheme="minorHAnsi" w:hAnsiTheme="minorHAnsi" w:cstheme="minorHAnsi"/>
                <w:sz w:val="20"/>
                <w:szCs w:val="20"/>
              </w:rPr>
              <w:t>100%</w:t>
            </w:r>
          </w:p>
        </w:tc>
        <w:tc>
          <w:tcPr>
            <w:tcW w:w="0" w:type="auto"/>
          </w:tcPr>
          <w:p w14:paraId="5EF122F6" w14:textId="5DFCB69B" w:rsidR="00D33516" w:rsidRPr="00375CC4" w:rsidRDefault="00632253" w:rsidP="00375CC4">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2,238</w:t>
            </w:r>
          </w:p>
        </w:tc>
        <w:tc>
          <w:tcPr>
            <w:tcW w:w="0" w:type="auto"/>
          </w:tcPr>
          <w:p w14:paraId="63D70F85" w14:textId="26F6EDBD" w:rsidR="00D33516" w:rsidRPr="00375CC4" w:rsidRDefault="00632253" w:rsidP="00375CC4">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2,044</w:t>
            </w:r>
          </w:p>
        </w:tc>
        <w:tc>
          <w:tcPr>
            <w:tcW w:w="0" w:type="auto"/>
          </w:tcPr>
          <w:p w14:paraId="4C7B42DF" w14:textId="7D0E4195" w:rsidR="00D33516" w:rsidRPr="00375CC4" w:rsidRDefault="00632253" w:rsidP="00375CC4">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194</w:t>
            </w:r>
          </w:p>
        </w:tc>
        <w:tc>
          <w:tcPr>
            <w:tcW w:w="0" w:type="auto"/>
          </w:tcPr>
          <w:p w14:paraId="2FC151E2" w14:textId="7EC595BC" w:rsidR="00D33516" w:rsidRPr="00375CC4" w:rsidRDefault="00632253" w:rsidP="00375CC4">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26.1%</w:t>
            </w:r>
          </w:p>
        </w:tc>
        <w:tc>
          <w:tcPr>
            <w:tcW w:w="864" w:type="dxa"/>
          </w:tcPr>
          <w:p w14:paraId="266F2205" w14:textId="42F65271" w:rsidR="00D33516" w:rsidRPr="00375CC4" w:rsidRDefault="00632253" w:rsidP="00375CC4">
            <w:pPr>
              <w:pStyle w:val="ListParagraph"/>
              <w:ind w:left="0"/>
              <w:jc w:val="center"/>
              <w:rPr>
                <w:rFonts w:asciiTheme="minorHAnsi" w:hAnsiTheme="minorHAnsi" w:cstheme="minorHAnsi"/>
                <w:sz w:val="20"/>
                <w:szCs w:val="20"/>
              </w:rPr>
            </w:pPr>
            <w:r>
              <w:rPr>
                <w:rFonts w:asciiTheme="minorHAnsi" w:hAnsiTheme="minorHAnsi" w:cstheme="minorHAnsi"/>
                <w:sz w:val="20"/>
                <w:szCs w:val="20"/>
              </w:rPr>
              <w:t>5.2%</w:t>
            </w:r>
          </w:p>
        </w:tc>
      </w:tr>
    </w:tbl>
    <w:p w14:paraId="0973595D" w14:textId="77777777" w:rsidR="00D33516" w:rsidRPr="00E10118" w:rsidRDefault="00D33516" w:rsidP="00375CC4">
      <w:pPr>
        <w:pStyle w:val="ListParagraph"/>
        <w:spacing w:after="120" w:line="269" w:lineRule="auto"/>
        <w:ind w:left="0"/>
        <w:rPr>
          <w:rStyle w:val="NORCCaption-Color"/>
          <w:rFonts w:asciiTheme="minorHAnsi" w:hAnsiTheme="minorHAnsi" w:cstheme="minorHAnsi"/>
        </w:rPr>
      </w:pPr>
    </w:p>
    <w:p w14:paraId="2370FBA0" w14:textId="6FB7DD1C" w:rsidR="008A5661" w:rsidRPr="00E10118" w:rsidRDefault="008A5661" w:rsidP="00375CC4">
      <w:pPr>
        <w:pStyle w:val="ListParagraph"/>
        <w:spacing w:after="120" w:line="269" w:lineRule="auto"/>
        <w:ind w:left="0"/>
        <w:jc w:val="center"/>
        <w:rPr>
          <w:rFonts w:asciiTheme="minorHAnsi" w:hAnsiTheme="minorHAnsi" w:cstheme="minorHAnsi"/>
          <w:b/>
          <w:color w:val="ED7D31"/>
        </w:rPr>
      </w:pPr>
      <w:r w:rsidRPr="00E10118">
        <w:rPr>
          <w:rFonts w:asciiTheme="minorHAnsi" w:hAnsiTheme="minorHAnsi" w:cstheme="minorHAnsi"/>
          <w:b/>
          <w:color w:val="ED7D31"/>
        </w:rPr>
        <w:lastRenderedPageBreak/>
        <w:t>ABS Sample Performance Summary</w:t>
      </w:r>
    </w:p>
    <w:tbl>
      <w:tblPr>
        <w:tblStyle w:val="TableGrid"/>
        <w:tblpPr w:leftFromText="180" w:rightFromText="180" w:vertAnchor="text" w:horzAnchor="margin" w:tblpXSpec="center" w:tblpY="157"/>
        <w:tblW w:w="9805" w:type="dxa"/>
        <w:tblLook w:val="04A0" w:firstRow="1" w:lastRow="0" w:firstColumn="1" w:lastColumn="0" w:noHBand="0" w:noVBand="1"/>
      </w:tblPr>
      <w:tblGrid>
        <w:gridCol w:w="1560"/>
        <w:gridCol w:w="1110"/>
        <w:gridCol w:w="1162"/>
        <w:gridCol w:w="987"/>
        <w:gridCol w:w="996"/>
        <w:gridCol w:w="1110"/>
        <w:gridCol w:w="1110"/>
        <w:gridCol w:w="1110"/>
        <w:gridCol w:w="1162"/>
        <w:gridCol w:w="1011"/>
      </w:tblGrid>
      <w:tr w:rsidR="00D33516" w:rsidRPr="00E10118" w14:paraId="37E4D395" w14:textId="77777777" w:rsidTr="0028570B">
        <w:trPr>
          <w:trHeight w:val="893"/>
        </w:trPr>
        <w:tc>
          <w:tcPr>
            <w:tcW w:w="1298" w:type="dxa"/>
            <w:vAlign w:val="bottom"/>
          </w:tcPr>
          <w:p w14:paraId="650D9F0F" w14:textId="55F07A88" w:rsidR="00D33516" w:rsidRPr="00375CC4" w:rsidRDefault="00D33516" w:rsidP="00375CC4">
            <w:pPr>
              <w:pStyle w:val="ListParagraph"/>
              <w:ind w:left="0"/>
              <w:rPr>
                <w:rFonts w:asciiTheme="minorHAnsi" w:hAnsiTheme="minorHAnsi" w:cstheme="minorHAnsi"/>
                <w:sz w:val="20"/>
              </w:rPr>
            </w:pPr>
            <w:r w:rsidRPr="00375CC4">
              <w:rPr>
                <w:rFonts w:asciiTheme="minorHAnsi" w:hAnsiTheme="minorHAnsi" w:cstheme="minorHAnsi"/>
                <w:sz w:val="20"/>
              </w:rPr>
              <w:t xml:space="preserve">Sampled/Invited </w:t>
            </w:r>
            <w:r w:rsidR="0006385C" w:rsidRPr="00375CC4">
              <w:rPr>
                <w:rFonts w:asciiTheme="minorHAnsi" w:hAnsiTheme="minorHAnsi" w:cstheme="minorHAnsi"/>
                <w:sz w:val="20"/>
              </w:rPr>
              <w:t>Households</w:t>
            </w:r>
          </w:p>
        </w:tc>
        <w:tc>
          <w:tcPr>
            <w:tcW w:w="935" w:type="dxa"/>
            <w:vAlign w:val="bottom"/>
          </w:tcPr>
          <w:p w14:paraId="569BF2C4"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No. Screening Interviews Completed</w:t>
            </w:r>
          </w:p>
        </w:tc>
        <w:tc>
          <w:tcPr>
            <w:tcW w:w="977" w:type="dxa"/>
            <w:vAlign w:val="bottom"/>
          </w:tcPr>
          <w:p w14:paraId="37BD2DC2" w14:textId="42E05AC8" w:rsidR="00D33516" w:rsidRPr="00375CC4" w:rsidRDefault="001A701A"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 xml:space="preserve">Base-Weighted </w:t>
            </w:r>
            <w:r w:rsidR="00D33516" w:rsidRPr="00375CC4">
              <w:rPr>
                <w:rFonts w:asciiTheme="minorHAnsi" w:hAnsiTheme="minorHAnsi" w:cstheme="minorHAnsi"/>
                <w:sz w:val="20"/>
              </w:rPr>
              <w:t>Screener Completion Rate</w:t>
            </w:r>
          </w:p>
        </w:tc>
        <w:tc>
          <w:tcPr>
            <w:tcW w:w="836" w:type="dxa"/>
            <w:vAlign w:val="bottom"/>
          </w:tcPr>
          <w:p w14:paraId="6F913C2C"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No. Panelists Eligible for Interview</w:t>
            </w:r>
          </w:p>
        </w:tc>
        <w:tc>
          <w:tcPr>
            <w:tcW w:w="843" w:type="dxa"/>
            <w:vAlign w:val="bottom"/>
          </w:tcPr>
          <w:p w14:paraId="31BE55E0"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Incidence / Eligibility Rate</w:t>
            </w:r>
          </w:p>
        </w:tc>
        <w:tc>
          <w:tcPr>
            <w:tcW w:w="935" w:type="dxa"/>
            <w:vAlign w:val="bottom"/>
          </w:tcPr>
          <w:p w14:paraId="6DF14FCF"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No. Survey Interviews Completed</w:t>
            </w:r>
          </w:p>
        </w:tc>
        <w:tc>
          <w:tcPr>
            <w:tcW w:w="935" w:type="dxa"/>
            <w:vAlign w:val="bottom"/>
          </w:tcPr>
          <w:p w14:paraId="5D8FA571"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No. Completed Online</w:t>
            </w:r>
          </w:p>
        </w:tc>
        <w:tc>
          <w:tcPr>
            <w:tcW w:w="935" w:type="dxa"/>
            <w:vAlign w:val="bottom"/>
          </w:tcPr>
          <w:p w14:paraId="6ACAD9F5"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No. Completed by Phone</w:t>
            </w:r>
          </w:p>
        </w:tc>
        <w:tc>
          <w:tcPr>
            <w:tcW w:w="977" w:type="dxa"/>
            <w:vAlign w:val="bottom"/>
          </w:tcPr>
          <w:p w14:paraId="03187A27" w14:textId="77777777" w:rsidR="00D33516" w:rsidRPr="00375CC4" w:rsidRDefault="00D33516"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Interview Completion Rate</w:t>
            </w:r>
          </w:p>
        </w:tc>
        <w:tc>
          <w:tcPr>
            <w:tcW w:w="1134" w:type="dxa"/>
            <w:vAlign w:val="bottom"/>
          </w:tcPr>
          <w:p w14:paraId="5D12DE3E" w14:textId="685C82D2" w:rsidR="00D33516" w:rsidRPr="00375CC4" w:rsidRDefault="0006385C" w:rsidP="00375CC4">
            <w:pPr>
              <w:pStyle w:val="ListParagraph"/>
              <w:ind w:left="0"/>
              <w:jc w:val="center"/>
              <w:rPr>
                <w:rFonts w:asciiTheme="minorHAnsi" w:hAnsiTheme="minorHAnsi" w:cstheme="minorHAnsi"/>
                <w:sz w:val="20"/>
              </w:rPr>
            </w:pPr>
            <w:r w:rsidRPr="00375CC4">
              <w:rPr>
                <w:rFonts w:asciiTheme="minorHAnsi" w:hAnsiTheme="minorHAnsi" w:cstheme="minorHAnsi"/>
                <w:sz w:val="20"/>
              </w:rPr>
              <w:t>Base Weighted Yield</w:t>
            </w:r>
          </w:p>
        </w:tc>
      </w:tr>
      <w:tr w:rsidR="00D33516" w:rsidRPr="00E10118" w14:paraId="3BBD298C" w14:textId="77777777" w:rsidTr="0028570B">
        <w:tc>
          <w:tcPr>
            <w:tcW w:w="1298" w:type="dxa"/>
          </w:tcPr>
          <w:p w14:paraId="6095CA8D" w14:textId="2B124254" w:rsidR="00D33516" w:rsidRPr="008038F2" w:rsidRDefault="008038F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279,741</w:t>
            </w:r>
          </w:p>
        </w:tc>
        <w:tc>
          <w:tcPr>
            <w:tcW w:w="935" w:type="dxa"/>
          </w:tcPr>
          <w:p w14:paraId="6D8871BD" w14:textId="3F5C2C88" w:rsidR="00D33516" w:rsidRPr="008038F2" w:rsidRDefault="008038F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7,224</w:t>
            </w:r>
          </w:p>
        </w:tc>
        <w:tc>
          <w:tcPr>
            <w:tcW w:w="977" w:type="dxa"/>
          </w:tcPr>
          <w:p w14:paraId="26805CCB" w14:textId="02EDD2C6" w:rsidR="00D33516" w:rsidRPr="008038F2" w:rsidRDefault="008038F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2.4%</w:t>
            </w:r>
          </w:p>
        </w:tc>
        <w:tc>
          <w:tcPr>
            <w:tcW w:w="836" w:type="dxa"/>
          </w:tcPr>
          <w:p w14:paraId="25749869" w14:textId="501A2694" w:rsidR="00D33516" w:rsidRPr="008038F2" w:rsidRDefault="008038F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7,224</w:t>
            </w:r>
          </w:p>
        </w:tc>
        <w:tc>
          <w:tcPr>
            <w:tcW w:w="843" w:type="dxa"/>
          </w:tcPr>
          <w:p w14:paraId="0507C49F" w14:textId="77777777" w:rsidR="00D33516" w:rsidRPr="008038F2" w:rsidRDefault="00D33516"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100%</w:t>
            </w:r>
          </w:p>
        </w:tc>
        <w:tc>
          <w:tcPr>
            <w:tcW w:w="935" w:type="dxa"/>
          </w:tcPr>
          <w:p w14:paraId="160EBE63" w14:textId="5269BCFC" w:rsidR="00D33516" w:rsidRPr="008038F2" w:rsidRDefault="008038F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6,736</w:t>
            </w:r>
          </w:p>
        </w:tc>
        <w:tc>
          <w:tcPr>
            <w:tcW w:w="935" w:type="dxa"/>
          </w:tcPr>
          <w:p w14:paraId="4EAA9F66" w14:textId="4B25A7FD" w:rsidR="00D33516" w:rsidRPr="008038F2" w:rsidRDefault="008038F2" w:rsidP="00375CC4">
            <w:pPr>
              <w:pStyle w:val="ListParagraph"/>
              <w:ind w:left="0"/>
              <w:jc w:val="center"/>
              <w:rPr>
                <w:rFonts w:asciiTheme="minorHAnsi" w:hAnsiTheme="minorHAnsi" w:cstheme="minorHAnsi"/>
                <w:sz w:val="20"/>
              </w:rPr>
            </w:pPr>
            <w:r>
              <w:rPr>
                <w:rFonts w:asciiTheme="minorHAnsi" w:hAnsiTheme="minorHAnsi" w:cstheme="minorHAnsi"/>
                <w:sz w:val="20"/>
              </w:rPr>
              <w:t>6,199</w:t>
            </w:r>
          </w:p>
        </w:tc>
        <w:tc>
          <w:tcPr>
            <w:tcW w:w="935" w:type="dxa"/>
          </w:tcPr>
          <w:p w14:paraId="02B1F82E" w14:textId="041686B6" w:rsidR="00D33516" w:rsidRPr="008038F2" w:rsidRDefault="008038F2" w:rsidP="00375CC4">
            <w:pPr>
              <w:pStyle w:val="ListParagraph"/>
              <w:ind w:left="0"/>
              <w:jc w:val="center"/>
              <w:rPr>
                <w:rFonts w:asciiTheme="minorHAnsi" w:hAnsiTheme="minorHAnsi" w:cstheme="minorHAnsi"/>
                <w:sz w:val="20"/>
              </w:rPr>
            </w:pPr>
            <w:r>
              <w:rPr>
                <w:rFonts w:asciiTheme="minorHAnsi" w:hAnsiTheme="minorHAnsi" w:cstheme="minorHAnsi"/>
                <w:sz w:val="20"/>
              </w:rPr>
              <w:t>537</w:t>
            </w:r>
          </w:p>
        </w:tc>
        <w:tc>
          <w:tcPr>
            <w:tcW w:w="977" w:type="dxa"/>
          </w:tcPr>
          <w:p w14:paraId="008AB450" w14:textId="1A93E15D" w:rsidR="00D33516" w:rsidRPr="008038F2" w:rsidRDefault="006343C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93.3%</w:t>
            </w:r>
          </w:p>
        </w:tc>
        <w:tc>
          <w:tcPr>
            <w:tcW w:w="1134" w:type="dxa"/>
          </w:tcPr>
          <w:p w14:paraId="64340BFF" w14:textId="36395F10" w:rsidR="00D33516" w:rsidRPr="008038F2" w:rsidRDefault="006343C2" w:rsidP="00375CC4">
            <w:pPr>
              <w:pStyle w:val="ListParagraph"/>
              <w:ind w:left="0"/>
              <w:jc w:val="center"/>
              <w:rPr>
                <w:rFonts w:asciiTheme="minorHAnsi" w:hAnsiTheme="minorHAnsi" w:cstheme="minorHAnsi"/>
                <w:sz w:val="20"/>
              </w:rPr>
            </w:pPr>
            <w:r w:rsidRPr="008038F2">
              <w:rPr>
                <w:rFonts w:asciiTheme="minorHAnsi" w:hAnsiTheme="minorHAnsi" w:cstheme="minorHAnsi"/>
                <w:sz w:val="20"/>
              </w:rPr>
              <w:t>2.3%</w:t>
            </w:r>
          </w:p>
        </w:tc>
      </w:tr>
    </w:tbl>
    <w:p w14:paraId="62158E1F" w14:textId="77777777" w:rsidR="005E1BA2" w:rsidRPr="00E10118" w:rsidRDefault="005E1BA2" w:rsidP="00375CC4">
      <w:pPr>
        <w:spacing w:after="120" w:line="269" w:lineRule="auto"/>
        <w:rPr>
          <w:rFonts w:cstheme="minorHAnsi"/>
          <w:u w:val="single"/>
        </w:rPr>
      </w:pPr>
    </w:p>
    <w:p w14:paraId="52B40D01" w14:textId="545343AA" w:rsidR="008A5661" w:rsidRPr="00E10118" w:rsidRDefault="008A5661" w:rsidP="00375CC4">
      <w:pPr>
        <w:pStyle w:val="ListParagraph"/>
        <w:spacing w:after="120" w:line="269" w:lineRule="auto"/>
        <w:ind w:left="0"/>
        <w:jc w:val="center"/>
        <w:rPr>
          <w:rFonts w:asciiTheme="minorHAnsi" w:hAnsiTheme="minorHAnsi" w:cstheme="minorHAnsi"/>
          <w:b/>
          <w:color w:val="ED7D31"/>
        </w:rPr>
      </w:pPr>
      <w:r w:rsidRPr="00E10118">
        <w:rPr>
          <w:rFonts w:asciiTheme="minorHAnsi" w:hAnsiTheme="minorHAnsi" w:cstheme="minorHAnsi"/>
          <w:b/>
          <w:color w:val="ED7D31"/>
        </w:rPr>
        <w:t>Margins of Sampling Error</w:t>
      </w:r>
    </w:p>
    <w:tbl>
      <w:tblPr>
        <w:tblStyle w:val="TableGrid"/>
        <w:tblW w:w="5000" w:type="pct"/>
        <w:tblLayout w:type="fixed"/>
        <w:tblLook w:val="04A0" w:firstRow="1" w:lastRow="0" w:firstColumn="1" w:lastColumn="0" w:noHBand="0" w:noVBand="1"/>
      </w:tblPr>
      <w:tblGrid>
        <w:gridCol w:w="1255"/>
        <w:gridCol w:w="2341"/>
        <w:gridCol w:w="2429"/>
        <w:gridCol w:w="812"/>
        <w:gridCol w:w="2513"/>
      </w:tblGrid>
      <w:tr w:rsidR="005E1BA2" w:rsidRPr="00375CC4" w14:paraId="5DC03835" w14:textId="77777777" w:rsidTr="00375CC4">
        <w:tc>
          <w:tcPr>
            <w:tcW w:w="671" w:type="pct"/>
            <w:vAlign w:val="bottom"/>
          </w:tcPr>
          <w:p w14:paraId="6CF07F99" w14:textId="77777777" w:rsidR="005E1BA2" w:rsidRPr="00375CC4" w:rsidRDefault="005E1BA2" w:rsidP="00375CC4">
            <w:pPr>
              <w:contextualSpacing/>
              <w:rPr>
                <w:rFonts w:cstheme="minorHAnsi"/>
                <w:sz w:val="20"/>
                <w:szCs w:val="20"/>
              </w:rPr>
            </w:pPr>
          </w:p>
        </w:tc>
        <w:tc>
          <w:tcPr>
            <w:tcW w:w="1252" w:type="pct"/>
            <w:vAlign w:val="bottom"/>
          </w:tcPr>
          <w:p w14:paraId="73F8ED68" w14:textId="77777777" w:rsidR="00375CC4" w:rsidRDefault="005E1BA2" w:rsidP="00375CC4">
            <w:pPr>
              <w:contextualSpacing/>
              <w:rPr>
                <w:rFonts w:cstheme="minorHAnsi"/>
                <w:sz w:val="20"/>
                <w:szCs w:val="20"/>
              </w:rPr>
            </w:pPr>
            <w:r w:rsidRPr="00375CC4">
              <w:rPr>
                <w:rFonts w:cstheme="minorHAnsi"/>
                <w:sz w:val="20"/>
                <w:szCs w:val="20"/>
              </w:rPr>
              <w:t xml:space="preserve">No. Completed Interviews </w:t>
            </w:r>
          </w:p>
          <w:p w14:paraId="615C1295" w14:textId="2FB89E21" w:rsidR="005E1BA2" w:rsidRPr="00375CC4" w:rsidRDefault="005E1BA2" w:rsidP="00375CC4">
            <w:pPr>
              <w:contextualSpacing/>
              <w:rPr>
                <w:rFonts w:cstheme="minorHAnsi"/>
                <w:sz w:val="20"/>
                <w:szCs w:val="20"/>
              </w:rPr>
            </w:pPr>
            <w:r w:rsidRPr="00375CC4">
              <w:rPr>
                <w:rFonts w:cstheme="minorHAnsi"/>
                <w:sz w:val="20"/>
                <w:szCs w:val="20"/>
              </w:rPr>
              <w:t>Sourced from ABS</w:t>
            </w:r>
          </w:p>
        </w:tc>
        <w:tc>
          <w:tcPr>
            <w:tcW w:w="1299" w:type="pct"/>
            <w:vAlign w:val="bottom"/>
          </w:tcPr>
          <w:p w14:paraId="767AA214" w14:textId="77777777" w:rsidR="00375CC4" w:rsidRDefault="005E1BA2" w:rsidP="00375CC4">
            <w:pPr>
              <w:contextualSpacing/>
              <w:rPr>
                <w:rFonts w:cstheme="minorHAnsi"/>
                <w:sz w:val="20"/>
                <w:szCs w:val="20"/>
              </w:rPr>
            </w:pPr>
            <w:r w:rsidRPr="00375CC4">
              <w:rPr>
                <w:rFonts w:cstheme="minorHAnsi"/>
                <w:sz w:val="20"/>
                <w:szCs w:val="20"/>
              </w:rPr>
              <w:t xml:space="preserve">No. Completed Interviews </w:t>
            </w:r>
          </w:p>
          <w:p w14:paraId="2441BDAA" w14:textId="59A8D652" w:rsidR="005E1BA2" w:rsidRPr="00375CC4" w:rsidRDefault="005E1BA2" w:rsidP="00375CC4">
            <w:pPr>
              <w:contextualSpacing/>
              <w:rPr>
                <w:rFonts w:cstheme="minorHAnsi"/>
                <w:sz w:val="20"/>
                <w:szCs w:val="20"/>
              </w:rPr>
            </w:pPr>
            <w:r w:rsidRPr="00375CC4">
              <w:rPr>
                <w:rFonts w:cstheme="minorHAnsi"/>
                <w:sz w:val="20"/>
                <w:szCs w:val="20"/>
              </w:rPr>
              <w:t>Sourced from AmeriSpeak</w:t>
            </w:r>
          </w:p>
        </w:tc>
        <w:tc>
          <w:tcPr>
            <w:tcW w:w="434" w:type="pct"/>
            <w:vAlign w:val="bottom"/>
          </w:tcPr>
          <w:p w14:paraId="0915ECF1" w14:textId="77777777" w:rsidR="005E1BA2" w:rsidRPr="00375CC4" w:rsidRDefault="005E1BA2" w:rsidP="00375CC4">
            <w:pPr>
              <w:contextualSpacing/>
              <w:rPr>
                <w:rFonts w:cstheme="minorHAnsi"/>
                <w:sz w:val="20"/>
                <w:szCs w:val="20"/>
              </w:rPr>
            </w:pPr>
            <w:r w:rsidRPr="00375CC4">
              <w:rPr>
                <w:rFonts w:cstheme="minorHAnsi"/>
                <w:sz w:val="20"/>
                <w:szCs w:val="20"/>
              </w:rPr>
              <w:t>Design Effect</w:t>
            </w:r>
          </w:p>
        </w:tc>
        <w:tc>
          <w:tcPr>
            <w:tcW w:w="1344" w:type="pct"/>
            <w:vAlign w:val="bottom"/>
          </w:tcPr>
          <w:p w14:paraId="292F8649" w14:textId="77777777" w:rsidR="005E1BA2" w:rsidRPr="00375CC4" w:rsidRDefault="005E1BA2" w:rsidP="00375CC4">
            <w:pPr>
              <w:contextualSpacing/>
              <w:rPr>
                <w:rFonts w:cstheme="minorHAnsi"/>
                <w:sz w:val="20"/>
                <w:szCs w:val="20"/>
              </w:rPr>
            </w:pPr>
            <w:r w:rsidRPr="00375CC4">
              <w:rPr>
                <w:rFonts w:cstheme="minorHAnsi"/>
                <w:sz w:val="20"/>
                <w:szCs w:val="20"/>
              </w:rPr>
              <w:t>Margin of Sampling Error (incl. design effect)</w:t>
            </w:r>
          </w:p>
          <w:p w14:paraId="1F3F62DB" w14:textId="77777777" w:rsidR="005E1BA2" w:rsidRPr="00375CC4" w:rsidRDefault="005E1BA2" w:rsidP="00375CC4">
            <w:pPr>
              <w:contextualSpacing/>
              <w:rPr>
                <w:rFonts w:cstheme="minorHAnsi"/>
                <w:sz w:val="20"/>
                <w:szCs w:val="20"/>
              </w:rPr>
            </w:pPr>
            <w:r w:rsidRPr="00375CC4">
              <w:rPr>
                <w:rFonts w:cstheme="minorHAnsi"/>
                <w:sz w:val="20"/>
                <w:szCs w:val="20"/>
              </w:rPr>
              <w:t>+/- percentage points</w:t>
            </w:r>
          </w:p>
        </w:tc>
      </w:tr>
      <w:tr w:rsidR="0006385C" w:rsidRPr="00375CC4" w14:paraId="353993F9" w14:textId="77777777" w:rsidTr="00375CC4">
        <w:tc>
          <w:tcPr>
            <w:tcW w:w="671" w:type="pct"/>
          </w:tcPr>
          <w:p w14:paraId="22523598" w14:textId="65FB7148" w:rsidR="0006385C" w:rsidRPr="00375CC4" w:rsidRDefault="0006385C" w:rsidP="00375CC4">
            <w:pPr>
              <w:contextualSpacing/>
              <w:rPr>
                <w:rFonts w:cstheme="minorHAnsi"/>
                <w:sz w:val="20"/>
                <w:szCs w:val="20"/>
              </w:rPr>
            </w:pPr>
            <w:r w:rsidRPr="00375CC4">
              <w:rPr>
                <w:rFonts w:cstheme="minorHAnsi"/>
                <w:sz w:val="20"/>
                <w:szCs w:val="20"/>
              </w:rPr>
              <w:t>National</w:t>
            </w:r>
          </w:p>
        </w:tc>
        <w:tc>
          <w:tcPr>
            <w:tcW w:w="1252" w:type="pct"/>
          </w:tcPr>
          <w:p w14:paraId="46DECD61" w14:textId="6A0B21D5" w:rsidR="0006385C" w:rsidRPr="00375CC4" w:rsidRDefault="00632253" w:rsidP="00375CC4">
            <w:pPr>
              <w:contextualSpacing/>
              <w:rPr>
                <w:rFonts w:cstheme="minorHAnsi"/>
                <w:sz w:val="20"/>
                <w:szCs w:val="20"/>
              </w:rPr>
            </w:pPr>
            <w:r>
              <w:rPr>
                <w:rFonts w:cstheme="minorHAnsi"/>
                <w:sz w:val="20"/>
                <w:szCs w:val="20"/>
              </w:rPr>
              <w:t>0</w:t>
            </w:r>
          </w:p>
        </w:tc>
        <w:tc>
          <w:tcPr>
            <w:tcW w:w="1299" w:type="pct"/>
          </w:tcPr>
          <w:p w14:paraId="6C79CED0" w14:textId="481DCEBB" w:rsidR="0006385C" w:rsidRPr="00375CC4" w:rsidRDefault="00632253" w:rsidP="00375CC4">
            <w:pPr>
              <w:contextualSpacing/>
              <w:rPr>
                <w:rFonts w:cstheme="minorHAnsi"/>
                <w:sz w:val="20"/>
                <w:szCs w:val="20"/>
              </w:rPr>
            </w:pPr>
            <w:r>
              <w:rPr>
                <w:rFonts w:cstheme="minorHAnsi"/>
                <w:sz w:val="20"/>
                <w:szCs w:val="20"/>
              </w:rPr>
              <w:t>2,238</w:t>
            </w:r>
          </w:p>
        </w:tc>
        <w:tc>
          <w:tcPr>
            <w:tcW w:w="434" w:type="pct"/>
          </w:tcPr>
          <w:p w14:paraId="17FFF3D5" w14:textId="1195E005" w:rsidR="0006385C" w:rsidRPr="00375CC4" w:rsidRDefault="00BA62FF" w:rsidP="00375CC4">
            <w:pPr>
              <w:contextualSpacing/>
              <w:rPr>
                <w:rFonts w:cstheme="minorHAnsi"/>
                <w:sz w:val="20"/>
                <w:szCs w:val="20"/>
              </w:rPr>
            </w:pPr>
            <w:r>
              <w:rPr>
                <w:rFonts w:cstheme="minorHAnsi"/>
                <w:sz w:val="20"/>
                <w:szCs w:val="20"/>
              </w:rPr>
              <w:t>1.98</w:t>
            </w:r>
          </w:p>
        </w:tc>
        <w:tc>
          <w:tcPr>
            <w:tcW w:w="1344" w:type="pct"/>
          </w:tcPr>
          <w:p w14:paraId="5139E601" w14:textId="3DBFD8D6" w:rsidR="0006385C" w:rsidRPr="00375CC4" w:rsidRDefault="00BA62FF" w:rsidP="00375CC4">
            <w:pPr>
              <w:contextualSpacing/>
              <w:rPr>
                <w:rFonts w:cstheme="minorHAnsi"/>
                <w:sz w:val="20"/>
                <w:szCs w:val="20"/>
              </w:rPr>
            </w:pPr>
            <w:r>
              <w:rPr>
                <w:rFonts w:cstheme="minorHAnsi"/>
                <w:sz w:val="20"/>
                <w:szCs w:val="20"/>
              </w:rPr>
              <w:t>2.9</w:t>
            </w:r>
          </w:p>
        </w:tc>
      </w:tr>
      <w:tr w:rsidR="00A042A7" w:rsidRPr="00375CC4" w14:paraId="43B69406" w14:textId="77777777" w:rsidTr="00375CC4">
        <w:tc>
          <w:tcPr>
            <w:tcW w:w="671" w:type="pct"/>
          </w:tcPr>
          <w:p w14:paraId="3239427D" w14:textId="77777777" w:rsidR="00A042A7" w:rsidRPr="00375CC4" w:rsidRDefault="00A042A7" w:rsidP="00A042A7">
            <w:pPr>
              <w:contextualSpacing/>
              <w:rPr>
                <w:rFonts w:cstheme="minorHAnsi"/>
                <w:sz w:val="20"/>
                <w:szCs w:val="20"/>
              </w:rPr>
            </w:pPr>
            <w:r w:rsidRPr="00375CC4">
              <w:rPr>
                <w:rFonts w:cstheme="minorHAnsi"/>
                <w:sz w:val="20"/>
                <w:szCs w:val="20"/>
              </w:rPr>
              <w:t>CA</w:t>
            </w:r>
          </w:p>
        </w:tc>
        <w:tc>
          <w:tcPr>
            <w:tcW w:w="1252" w:type="pct"/>
          </w:tcPr>
          <w:p w14:paraId="59B88B34" w14:textId="7439380C" w:rsidR="00A042A7" w:rsidRPr="00375CC4" w:rsidRDefault="0029179B" w:rsidP="00A042A7">
            <w:pPr>
              <w:contextualSpacing/>
              <w:rPr>
                <w:rFonts w:cstheme="minorHAnsi"/>
                <w:sz w:val="20"/>
                <w:szCs w:val="20"/>
              </w:rPr>
            </w:pPr>
            <w:r>
              <w:rPr>
                <w:rFonts w:cstheme="minorHAnsi"/>
                <w:sz w:val="20"/>
                <w:szCs w:val="20"/>
              </w:rPr>
              <w:t>369</w:t>
            </w:r>
          </w:p>
        </w:tc>
        <w:tc>
          <w:tcPr>
            <w:tcW w:w="1299" w:type="pct"/>
          </w:tcPr>
          <w:p w14:paraId="17C122E9" w14:textId="69E73293" w:rsidR="00A042A7" w:rsidRPr="00375CC4" w:rsidRDefault="0029179B" w:rsidP="00A042A7">
            <w:pPr>
              <w:contextualSpacing/>
              <w:rPr>
                <w:rFonts w:cstheme="minorHAnsi"/>
                <w:sz w:val="20"/>
                <w:szCs w:val="20"/>
              </w:rPr>
            </w:pPr>
            <w:r>
              <w:rPr>
                <w:rFonts w:cstheme="minorHAnsi"/>
                <w:sz w:val="20"/>
                <w:szCs w:val="20"/>
              </w:rPr>
              <w:t>303</w:t>
            </w:r>
          </w:p>
        </w:tc>
        <w:tc>
          <w:tcPr>
            <w:tcW w:w="434" w:type="pct"/>
          </w:tcPr>
          <w:p w14:paraId="6764F007" w14:textId="73E35C58" w:rsidR="00A042A7" w:rsidRPr="00375CC4" w:rsidRDefault="00A042A7" w:rsidP="00A042A7">
            <w:pPr>
              <w:contextualSpacing/>
              <w:rPr>
                <w:rFonts w:cstheme="minorHAnsi"/>
                <w:sz w:val="20"/>
                <w:szCs w:val="20"/>
              </w:rPr>
            </w:pPr>
            <w:r>
              <w:rPr>
                <w:rFonts w:cstheme="minorHAnsi"/>
                <w:sz w:val="20"/>
                <w:szCs w:val="20"/>
              </w:rPr>
              <w:t>1.78</w:t>
            </w:r>
          </w:p>
        </w:tc>
        <w:tc>
          <w:tcPr>
            <w:tcW w:w="1344" w:type="pct"/>
          </w:tcPr>
          <w:p w14:paraId="26591CE7" w14:textId="3B3D962E" w:rsidR="00A042A7" w:rsidRPr="00375CC4" w:rsidRDefault="00A042A7" w:rsidP="00A042A7">
            <w:pPr>
              <w:contextualSpacing/>
              <w:rPr>
                <w:rFonts w:cstheme="minorHAnsi"/>
                <w:sz w:val="20"/>
                <w:szCs w:val="20"/>
              </w:rPr>
            </w:pPr>
            <w:r>
              <w:rPr>
                <w:rFonts w:cstheme="minorHAnsi"/>
                <w:sz w:val="20"/>
                <w:szCs w:val="20"/>
              </w:rPr>
              <w:t>5.0</w:t>
            </w:r>
          </w:p>
        </w:tc>
      </w:tr>
      <w:tr w:rsidR="00A042A7" w:rsidRPr="00375CC4" w14:paraId="627B05C1" w14:textId="77777777" w:rsidTr="00375CC4">
        <w:tc>
          <w:tcPr>
            <w:tcW w:w="671" w:type="pct"/>
          </w:tcPr>
          <w:p w14:paraId="4E59764E" w14:textId="77777777" w:rsidR="00A042A7" w:rsidRPr="00375CC4" w:rsidRDefault="00A042A7" w:rsidP="00A042A7">
            <w:pPr>
              <w:contextualSpacing/>
              <w:rPr>
                <w:rFonts w:cstheme="minorHAnsi"/>
                <w:sz w:val="20"/>
                <w:szCs w:val="20"/>
              </w:rPr>
            </w:pPr>
            <w:r w:rsidRPr="00375CC4">
              <w:rPr>
                <w:rFonts w:cstheme="minorHAnsi"/>
                <w:sz w:val="20"/>
                <w:szCs w:val="20"/>
              </w:rPr>
              <w:t>CO</w:t>
            </w:r>
          </w:p>
        </w:tc>
        <w:tc>
          <w:tcPr>
            <w:tcW w:w="1252" w:type="pct"/>
          </w:tcPr>
          <w:p w14:paraId="591C7D27" w14:textId="52282742" w:rsidR="00A042A7" w:rsidRPr="00375CC4" w:rsidRDefault="0029179B" w:rsidP="00A042A7">
            <w:pPr>
              <w:contextualSpacing/>
              <w:rPr>
                <w:rFonts w:cstheme="minorHAnsi"/>
                <w:sz w:val="20"/>
                <w:szCs w:val="20"/>
              </w:rPr>
            </w:pPr>
            <w:r>
              <w:rPr>
                <w:rFonts w:cstheme="minorHAnsi"/>
                <w:sz w:val="20"/>
                <w:szCs w:val="20"/>
              </w:rPr>
              <w:t>418</w:t>
            </w:r>
          </w:p>
        </w:tc>
        <w:tc>
          <w:tcPr>
            <w:tcW w:w="1299" w:type="pct"/>
          </w:tcPr>
          <w:p w14:paraId="34FA33CF" w14:textId="0188FA3C"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7DA26297" w14:textId="745AA1F0" w:rsidR="00A042A7" w:rsidRPr="00375CC4" w:rsidRDefault="00A042A7" w:rsidP="00A042A7">
            <w:pPr>
              <w:contextualSpacing/>
              <w:rPr>
                <w:rFonts w:cstheme="minorHAnsi"/>
                <w:sz w:val="20"/>
                <w:szCs w:val="20"/>
              </w:rPr>
            </w:pPr>
            <w:r>
              <w:rPr>
                <w:rFonts w:cstheme="minorHAnsi"/>
                <w:sz w:val="20"/>
                <w:szCs w:val="20"/>
              </w:rPr>
              <w:t>2.34</w:t>
            </w:r>
          </w:p>
        </w:tc>
        <w:tc>
          <w:tcPr>
            <w:tcW w:w="1344" w:type="pct"/>
          </w:tcPr>
          <w:p w14:paraId="59AD2541" w14:textId="44B72F96" w:rsidR="00A042A7" w:rsidRPr="00375CC4" w:rsidRDefault="00A042A7" w:rsidP="00A042A7">
            <w:pPr>
              <w:contextualSpacing/>
              <w:rPr>
                <w:rFonts w:cstheme="minorHAnsi"/>
                <w:sz w:val="20"/>
                <w:szCs w:val="20"/>
              </w:rPr>
            </w:pPr>
            <w:r>
              <w:rPr>
                <w:rFonts w:cstheme="minorHAnsi"/>
                <w:sz w:val="20"/>
                <w:szCs w:val="20"/>
              </w:rPr>
              <w:t>7.3</w:t>
            </w:r>
          </w:p>
        </w:tc>
      </w:tr>
      <w:tr w:rsidR="00A042A7" w:rsidRPr="00375CC4" w14:paraId="460E1603" w14:textId="77777777" w:rsidTr="00375CC4">
        <w:tc>
          <w:tcPr>
            <w:tcW w:w="671" w:type="pct"/>
          </w:tcPr>
          <w:p w14:paraId="2498A078" w14:textId="77777777" w:rsidR="00A042A7" w:rsidRPr="00375CC4" w:rsidRDefault="00A042A7" w:rsidP="00A042A7">
            <w:pPr>
              <w:contextualSpacing/>
              <w:rPr>
                <w:rFonts w:cstheme="minorHAnsi"/>
                <w:sz w:val="20"/>
                <w:szCs w:val="20"/>
              </w:rPr>
            </w:pPr>
            <w:r w:rsidRPr="00375CC4">
              <w:rPr>
                <w:rFonts w:cstheme="minorHAnsi"/>
                <w:sz w:val="20"/>
                <w:szCs w:val="20"/>
              </w:rPr>
              <w:t>FL</w:t>
            </w:r>
          </w:p>
        </w:tc>
        <w:tc>
          <w:tcPr>
            <w:tcW w:w="1252" w:type="pct"/>
          </w:tcPr>
          <w:p w14:paraId="0E50EFE4" w14:textId="6976F567" w:rsidR="00A042A7" w:rsidRPr="00375CC4" w:rsidRDefault="0029179B" w:rsidP="00A042A7">
            <w:pPr>
              <w:contextualSpacing/>
              <w:rPr>
                <w:rFonts w:cstheme="minorHAnsi"/>
                <w:sz w:val="20"/>
                <w:szCs w:val="20"/>
              </w:rPr>
            </w:pPr>
            <w:r>
              <w:rPr>
                <w:rFonts w:cstheme="minorHAnsi"/>
                <w:sz w:val="20"/>
                <w:szCs w:val="20"/>
              </w:rPr>
              <w:t>343</w:t>
            </w:r>
          </w:p>
        </w:tc>
        <w:tc>
          <w:tcPr>
            <w:tcW w:w="1299" w:type="pct"/>
          </w:tcPr>
          <w:p w14:paraId="520FBE91" w14:textId="658C32E0" w:rsidR="00A042A7" w:rsidRPr="00375CC4" w:rsidRDefault="0029179B" w:rsidP="00A042A7">
            <w:pPr>
              <w:contextualSpacing/>
              <w:rPr>
                <w:rFonts w:cstheme="minorHAnsi"/>
                <w:sz w:val="20"/>
                <w:szCs w:val="20"/>
              </w:rPr>
            </w:pPr>
            <w:r>
              <w:rPr>
                <w:rFonts w:cstheme="minorHAnsi"/>
                <w:sz w:val="20"/>
                <w:szCs w:val="20"/>
              </w:rPr>
              <w:t>143</w:t>
            </w:r>
          </w:p>
        </w:tc>
        <w:tc>
          <w:tcPr>
            <w:tcW w:w="434" w:type="pct"/>
          </w:tcPr>
          <w:p w14:paraId="410E981E" w14:textId="54036BB2" w:rsidR="00A042A7" w:rsidRPr="00375CC4" w:rsidRDefault="00A042A7" w:rsidP="00A042A7">
            <w:pPr>
              <w:contextualSpacing/>
              <w:rPr>
                <w:rFonts w:cstheme="minorHAnsi"/>
                <w:sz w:val="20"/>
                <w:szCs w:val="20"/>
              </w:rPr>
            </w:pPr>
            <w:r>
              <w:rPr>
                <w:rFonts w:cstheme="minorHAnsi"/>
                <w:sz w:val="20"/>
                <w:szCs w:val="20"/>
              </w:rPr>
              <w:t>1.92</w:t>
            </w:r>
          </w:p>
        </w:tc>
        <w:tc>
          <w:tcPr>
            <w:tcW w:w="1344" w:type="pct"/>
          </w:tcPr>
          <w:p w14:paraId="67EE8FC3" w14:textId="42A97545" w:rsidR="00A042A7" w:rsidRPr="00375CC4" w:rsidRDefault="00A042A7" w:rsidP="00A042A7">
            <w:pPr>
              <w:contextualSpacing/>
              <w:rPr>
                <w:rFonts w:cstheme="minorHAnsi"/>
                <w:sz w:val="20"/>
                <w:szCs w:val="20"/>
              </w:rPr>
            </w:pPr>
            <w:r>
              <w:rPr>
                <w:rFonts w:cstheme="minorHAnsi"/>
                <w:sz w:val="20"/>
                <w:szCs w:val="20"/>
              </w:rPr>
              <w:t>6.2</w:t>
            </w:r>
          </w:p>
        </w:tc>
      </w:tr>
      <w:tr w:rsidR="00A042A7" w:rsidRPr="00375CC4" w14:paraId="52E097E9" w14:textId="77777777" w:rsidTr="00375CC4">
        <w:tc>
          <w:tcPr>
            <w:tcW w:w="671" w:type="pct"/>
          </w:tcPr>
          <w:p w14:paraId="256F59B1" w14:textId="77777777" w:rsidR="00A042A7" w:rsidRPr="00375CC4" w:rsidRDefault="00A042A7" w:rsidP="00A042A7">
            <w:pPr>
              <w:contextualSpacing/>
              <w:rPr>
                <w:rFonts w:cstheme="minorHAnsi"/>
                <w:sz w:val="20"/>
                <w:szCs w:val="20"/>
              </w:rPr>
            </w:pPr>
            <w:r w:rsidRPr="00375CC4">
              <w:rPr>
                <w:rFonts w:cstheme="minorHAnsi"/>
                <w:sz w:val="20"/>
                <w:szCs w:val="20"/>
              </w:rPr>
              <w:t>LA</w:t>
            </w:r>
          </w:p>
        </w:tc>
        <w:tc>
          <w:tcPr>
            <w:tcW w:w="1252" w:type="pct"/>
          </w:tcPr>
          <w:p w14:paraId="3BD0A4A8" w14:textId="13B155E0" w:rsidR="00A042A7" w:rsidRPr="00375CC4" w:rsidRDefault="0029179B" w:rsidP="00A042A7">
            <w:pPr>
              <w:contextualSpacing/>
              <w:rPr>
                <w:rFonts w:cstheme="minorHAnsi"/>
                <w:sz w:val="20"/>
                <w:szCs w:val="20"/>
              </w:rPr>
            </w:pPr>
            <w:r>
              <w:rPr>
                <w:rFonts w:cstheme="minorHAnsi"/>
                <w:sz w:val="20"/>
                <w:szCs w:val="20"/>
              </w:rPr>
              <w:t>342</w:t>
            </w:r>
          </w:p>
        </w:tc>
        <w:tc>
          <w:tcPr>
            <w:tcW w:w="1299" w:type="pct"/>
          </w:tcPr>
          <w:p w14:paraId="4E499433" w14:textId="7EF471A9"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77C75A31" w14:textId="22478114" w:rsidR="00A042A7" w:rsidRPr="00375CC4" w:rsidRDefault="00A042A7" w:rsidP="00A042A7">
            <w:pPr>
              <w:contextualSpacing/>
              <w:rPr>
                <w:rFonts w:cstheme="minorHAnsi"/>
                <w:sz w:val="20"/>
                <w:szCs w:val="20"/>
              </w:rPr>
            </w:pPr>
            <w:r>
              <w:rPr>
                <w:rFonts w:cstheme="minorHAnsi"/>
                <w:sz w:val="20"/>
                <w:szCs w:val="20"/>
              </w:rPr>
              <w:t>1.79</w:t>
            </w:r>
          </w:p>
        </w:tc>
        <w:tc>
          <w:tcPr>
            <w:tcW w:w="1344" w:type="pct"/>
          </w:tcPr>
          <w:p w14:paraId="35DBF8B2" w14:textId="7A04A17E" w:rsidR="00A042A7" w:rsidRPr="00375CC4" w:rsidRDefault="00A042A7" w:rsidP="00A042A7">
            <w:pPr>
              <w:contextualSpacing/>
              <w:rPr>
                <w:rFonts w:cstheme="minorHAnsi"/>
                <w:sz w:val="20"/>
                <w:szCs w:val="20"/>
              </w:rPr>
            </w:pPr>
            <w:r>
              <w:rPr>
                <w:rFonts w:cstheme="minorHAnsi"/>
                <w:sz w:val="20"/>
                <w:szCs w:val="20"/>
              </w:rPr>
              <w:t>7.1</w:t>
            </w:r>
          </w:p>
        </w:tc>
      </w:tr>
      <w:tr w:rsidR="00A042A7" w:rsidRPr="00375CC4" w14:paraId="1A712520" w14:textId="77777777" w:rsidTr="00375CC4">
        <w:tc>
          <w:tcPr>
            <w:tcW w:w="671" w:type="pct"/>
          </w:tcPr>
          <w:p w14:paraId="0D3097EB" w14:textId="77777777" w:rsidR="00A042A7" w:rsidRPr="00375CC4" w:rsidRDefault="00A042A7" w:rsidP="00A042A7">
            <w:pPr>
              <w:contextualSpacing/>
              <w:rPr>
                <w:rFonts w:cstheme="minorHAnsi"/>
                <w:sz w:val="20"/>
                <w:szCs w:val="20"/>
              </w:rPr>
            </w:pPr>
            <w:r w:rsidRPr="00375CC4">
              <w:rPr>
                <w:rFonts w:cstheme="minorHAnsi"/>
                <w:sz w:val="20"/>
                <w:szCs w:val="20"/>
              </w:rPr>
              <w:t>MN</w:t>
            </w:r>
          </w:p>
        </w:tc>
        <w:tc>
          <w:tcPr>
            <w:tcW w:w="1252" w:type="pct"/>
          </w:tcPr>
          <w:p w14:paraId="1C40D6C8" w14:textId="1538239B" w:rsidR="00A042A7" w:rsidRPr="00375CC4" w:rsidRDefault="0029179B" w:rsidP="00A042A7">
            <w:pPr>
              <w:contextualSpacing/>
              <w:rPr>
                <w:rFonts w:cstheme="minorHAnsi"/>
                <w:sz w:val="20"/>
                <w:szCs w:val="20"/>
              </w:rPr>
            </w:pPr>
            <w:r>
              <w:rPr>
                <w:rFonts w:cstheme="minorHAnsi"/>
                <w:sz w:val="20"/>
                <w:szCs w:val="20"/>
              </w:rPr>
              <w:t>408</w:t>
            </w:r>
          </w:p>
        </w:tc>
        <w:tc>
          <w:tcPr>
            <w:tcW w:w="1299" w:type="pct"/>
          </w:tcPr>
          <w:p w14:paraId="7E7C8A46" w14:textId="02B96480"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0AD1948C" w14:textId="2C2FA7F2" w:rsidR="00A042A7" w:rsidRPr="00375CC4" w:rsidRDefault="00A042A7" w:rsidP="00A042A7">
            <w:pPr>
              <w:contextualSpacing/>
              <w:rPr>
                <w:rFonts w:cstheme="minorHAnsi"/>
                <w:sz w:val="20"/>
                <w:szCs w:val="20"/>
              </w:rPr>
            </w:pPr>
            <w:r>
              <w:rPr>
                <w:rFonts w:cstheme="minorHAnsi"/>
                <w:sz w:val="20"/>
                <w:szCs w:val="20"/>
              </w:rPr>
              <w:t>1.88</w:t>
            </w:r>
          </w:p>
        </w:tc>
        <w:tc>
          <w:tcPr>
            <w:tcW w:w="1344" w:type="pct"/>
          </w:tcPr>
          <w:p w14:paraId="253C6EBE" w14:textId="7F67E5BF" w:rsidR="00A042A7" w:rsidRPr="00375CC4" w:rsidRDefault="00632253" w:rsidP="00A042A7">
            <w:pPr>
              <w:contextualSpacing/>
              <w:rPr>
                <w:rFonts w:cstheme="minorHAnsi"/>
                <w:sz w:val="20"/>
                <w:szCs w:val="20"/>
              </w:rPr>
            </w:pPr>
            <w:r>
              <w:rPr>
                <w:rFonts w:cstheme="minorHAnsi"/>
                <w:sz w:val="20"/>
                <w:szCs w:val="20"/>
              </w:rPr>
              <w:t>6.7</w:t>
            </w:r>
          </w:p>
        </w:tc>
      </w:tr>
      <w:tr w:rsidR="00A042A7" w:rsidRPr="00375CC4" w14:paraId="31DFC935" w14:textId="77777777" w:rsidTr="00375CC4">
        <w:tc>
          <w:tcPr>
            <w:tcW w:w="671" w:type="pct"/>
          </w:tcPr>
          <w:p w14:paraId="01A9F5A6" w14:textId="77777777" w:rsidR="00A042A7" w:rsidRPr="00375CC4" w:rsidRDefault="00A042A7" w:rsidP="00A042A7">
            <w:pPr>
              <w:contextualSpacing/>
              <w:rPr>
                <w:rFonts w:cstheme="minorHAnsi"/>
                <w:sz w:val="20"/>
                <w:szCs w:val="20"/>
              </w:rPr>
            </w:pPr>
            <w:r w:rsidRPr="00375CC4">
              <w:rPr>
                <w:rFonts w:cstheme="minorHAnsi"/>
                <w:sz w:val="20"/>
                <w:szCs w:val="20"/>
              </w:rPr>
              <w:t>MO</w:t>
            </w:r>
          </w:p>
        </w:tc>
        <w:tc>
          <w:tcPr>
            <w:tcW w:w="1252" w:type="pct"/>
          </w:tcPr>
          <w:p w14:paraId="70419D8B" w14:textId="25BAB1C0" w:rsidR="00A042A7" w:rsidRPr="00375CC4" w:rsidRDefault="0029179B" w:rsidP="00A042A7">
            <w:pPr>
              <w:contextualSpacing/>
              <w:rPr>
                <w:rFonts w:cstheme="minorHAnsi"/>
                <w:sz w:val="20"/>
                <w:szCs w:val="20"/>
              </w:rPr>
            </w:pPr>
            <w:r>
              <w:rPr>
                <w:rFonts w:cstheme="minorHAnsi"/>
                <w:sz w:val="20"/>
                <w:szCs w:val="20"/>
              </w:rPr>
              <w:t>418</w:t>
            </w:r>
          </w:p>
        </w:tc>
        <w:tc>
          <w:tcPr>
            <w:tcW w:w="1299" w:type="pct"/>
          </w:tcPr>
          <w:p w14:paraId="2045DF33" w14:textId="1D512425"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339076BA" w14:textId="3BE549BD" w:rsidR="00A042A7" w:rsidRPr="00375CC4" w:rsidRDefault="00A042A7" w:rsidP="00A042A7">
            <w:pPr>
              <w:contextualSpacing/>
              <w:rPr>
                <w:rFonts w:cstheme="minorHAnsi"/>
                <w:sz w:val="20"/>
                <w:szCs w:val="20"/>
              </w:rPr>
            </w:pPr>
            <w:r>
              <w:rPr>
                <w:rFonts w:cstheme="minorHAnsi"/>
                <w:sz w:val="20"/>
                <w:szCs w:val="20"/>
              </w:rPr>
              <w:t>1.96</w:t>
            </w:r>
          </w:p>
        </w:tc>
        <w:tc>
          <w:tcPr>
            <w:tcW w:w="1344" w:type="pct"/>
          </w:tcPr>
          <w:p w14:paraId="4827972F" w14:textId="4FE5BB89" w:rsidR="00A042A7" w:rsidRPr="00375CC4" w:rsidRDefault="00632253" w:rsidP="00A042A7">
            <w:pPr>
              <w:contextualSpacing/>
              <w:rPr>
                <w:rFonts w:cstheme="minorHAnsi"/>
                <w:sz w:val="20"/>
                <w:szCs w:val="20"/>
              </w:rPr>
            </w:pPr>
            <w:r>
              <w:rPr>
                <w:rFonts w:cstheme="minorHAnsi"/>
                <w:sz w:val="20"/>
                <w:szCs w:val="20"/>
              </w:rPr>
              <w:t>6.7</w:t>
            </w:r>
          </w:p>
        </w:tc>
      </w:tr>
      <w:tr w:rsidR="00A042A7" w:rsidRPr="00375CC4" w14:paraId="24864988" w14:textId="77777777" w:rsidTr="00375CC4">
        <w:tc>
          <w:tcPr>
            <w:tcW w:w="671" w:type="pct"/>
          </w:tcPr>
          <w:p w14:paraId="7136B5A4" w14:textId="77777777" w:rsidR="00A042A7" w:rsidRPr="003A015C" w:rsidRDefault="00A042A7" w:rsidP="00A042A7">
            <w:pPr>
              <w:contextualSpacing/>
              <w:rPr>
                <w:rFonts w:cstheme="minorHAnsi"/>
                <w:sz w:val="20"/>
                <w:szCs w:val="20"/>
              </w:rPr>
            </w:pPr>
            <w:r w:rsidRPr="003A015C">
              <w:rPr>
                <w:rFonts w:cstheme="minorHAnsi"/>
                <w:sz w:val="20"/>
                <w:szCs w:val="20"/>
              </w:rPr>
              <w:t>MT</w:t>
            </w:r>
          </w:p>
        </w:tc>
        <w:tc>
          <w:tcPr>
            <w:tcW w:w="1252" w:type="pct"/>
          </w:tcPr>
          <w:p w14:paraId="5AE3480B" w14:textId="6885CC26" w:rsidR="00A042A7" w:rsidRPr="003A015C" w:rsidRDefault="003A015C" w:rsidP="00A042A7">
            <w:pPr>
              <w:contextualSpacing/>
              <w:rPr>
                <w:rFonts w:cstheme="minorHAnsi"/>
                <w:sz w:val="20"/>
                <w:szCs w:val="20"/>
              </w:rPr>
            </w:pPr>
            <w:r>
              <w:rPr>
                <w:rFonts w:cstheme="minorHAnsi"/>
                <w:sz w:val="20"/>
                <w:szCs w:val="20"/>
              </w:rPr>
              <w:t>394</w:t>
            </w:r>
          </w:p>
        </w:tc>
        <w:tc>
          <w:tcPr>
            <w:tcW w:w="1299" w:type="pct"/>
          </w:tcPr>
          <w:p w14:paraId="5C4FA463" w14:textId="7A457B81" w:rsidR="00A042A7" w:rsidRPr="003A015C" w:rsidRDefault="003A015C" w:rsidP="00A042A7">
            <w:pPr>
              <w:contextualSpacing/>
              <w:rPr>
                <w:rFonts w:cstheme="minorHAnsi"/>
                <w:sz w:val="20"/>
                <w:szCs w:val="20"/>
              </w:rPr>
            </w:pPr>
            <w:r>
              <w:rPr>
                <w:rFonts w:cstheme="minorHAnsi"/>
                <w:sz w:val="20"/>
                <w:szCs w:val="20"/>
              </w:rPr>
              <w:t>0</w:t>
            </w:r>
          </w:p>
        </w:tc>
        <w:tc>
          <w:tcPr>
            <w:tcW w:w="434" w:type="pct"/>
          </w:tcPr>
          <w:p w14:paraId="7662545C" w14:textId="51396F68" w:rsidR="00A042A7" w:rsidRPr="003A015C" w:rsidRDefault="003A015C" w:rsidP="00A042A7">
            <w:pPr>
              <w:contextualSpacing/>
              <w:rPr>
                <w:rFonts w:cstheme="minorHAnsi"/>
                <w:sz w:val="20"/>
                <w:szCs w:val="20"/>
              </w:rPr>
            </w:pPr>
            <w:r>
              <w:rPr>
                <w:rFonts w:cstheme="minorHAnsi"/>
                <w:sz w:val="20"/>
                <w:szCs w:val="20"/>
              </w:rPr>
              <w:t>1.78</w:t>
            </w:r>
          </w:p>
        </w:tc>
        <w:tc>
          <w:tcPr>
            <w:tcW w:w="1344" w:type="pct"/>
          </w:tcPr>
          <w:p w14:paraId="354B4AEE" w14:textId="2ECC9398" w:rsidR="00A042A7" w:rsidRPr="003A015C" w:rsidRDefault="003A015C" w:rsidP="00A042A7">
            <w:pPr>
              <w:contextualSpacing/>
              <w:rPr>
                <w:rFonts w:cstheme="minorHAnsi"/>
                <w:sz w:val="20"/>
                <w:szCs w:val="20"/>
              </w:rPr>
            </w:pPr>
            <w:r>
              <w:rPr>
                <w:rFonts w:cstheme="minorHAnsi"/>
                <w:sz w:val="20"/>
                <w:szCs w:val="20"/>
              </w:rPr>
              <w:t>6.6</w:t>
            </w:r>
          </w:p>
        </w:tc>
      </w:tr>
      <w:tr w:rsidR="00A042A7" w:rsidRPr="00375CC4" w14:paraId="52F25A74" w14:textId="77777777" w:rsidTr="00375CC4">
        <w:tc>
          <w:tcPr>
            <w:tcW w:w="671" w:type="pct"/>
          </w:tcPr>
          <w:p w14:paraId="4EBF9B4E" w14:textId="77777777" w:rsidR="00A042A7" w:rsidRPr="00375CC4" w:rsidRDefault="00A042A7" w:rsidP="00A042A7">
            <w:pPr>
              <w:contextualSpacing/>
              <w:rPr>
                <w:rFonts w:cstheme="minorHAnsi"/>
                <w:sz w:val="20"/>
                <w:szCs w:val="20"/>
              </w:rPr>
            </w:pPr>
            <w:r w:rsidRPr="00375CC4">
              <w:rPr>
                <w:rFonts w:cstheme="minorHAnsi"/>
                <w:sz w:val="20"/>
                <w:szCs w:val="20"/>
              </w:rPr>
              <w:t>NY</w:t>
            </w:r>
          </w:p>
        </w:tc>
        <w:tc>
          <w:tcPr>
            <w:tcW w:w="1252" w:type="pct"/>
          </w:tcPr>
          <w:p w14:paraId="27B5E251" w14:textId="0641CE52" w:rsidR="00A042A7" w:rsidRPr="00375CC4" w:rsidRDefault="0029179B" w:rsidP="00A042A7">
            <w:pPr>
              <w:contextualSpacing/>
              <w:rPr>
                <w:rFonts w:cstheme="minorHAnsi"/>
                <w:sz w:val="20"/>
                <w:szCs w:val="20"/>
              </w:rPr>
            </w:pPr>
            <w:r>
              <w:rPr>
                <w:rFonts w:cstheme="minorHAnsi"/>
                <w:sz w:val="20"/>
                <w:szCs w:val="20"/>
              </w:rPr>
              <w:t>353</w:t>
            </w:r>
          </w:p>
        </w:tc>
        <w:tc>
          <w:tcPr>
            <w:tcW w:w="1299" w:type="pct"/>
          </w:tcPr>
          <w:p w14:paraId="07B8153F" w14:textId="4E88B6C8" w:rsidR="00A042A7" w:rsidRPr="00375CC4" w:rsidRDefault="0029179B" w:rsidP="00A042A7">
            <w:pPr>
              <w:contextualSpacing/>
              <w:rPr>
                <w:rFonts w:cstheme="minorHAnsi"/>
                <w:sz w:val="20"/>
                <w:szCs w:val="20"/>
              </w:rPr>
            </w:pPr>
            <w:r>
              <w:rPr>
                <w:rFonts w:cstheme="minorHAnsi"/>
                <w:sz w:val="20"/>
                <w:szCs w:val="20"/>
              </w:rPr>
              <w:t>98</w:t>
            </w:r>
          </w:p>
        </w:tc>
        <w:tc>
          <w:tcPr>
            <w:tcW w:w="434" w:type="pct"/>
          </w:tcPr>
          <w:p w14:paraId="3C13C0DE" w14:textId="664AABCD" w:rsidR="00A042A7" w:rsidRPr="00375CC4" w:rsidRDefault="00A042A7" w:rsidP="00A042A7">
            <w:pPr>
              <w:contextualSpacing/>
              <w:rPr>
                <w:rFonts w:cstheme="minorHAnsi"/>
                <w:sz w:val="20"/>
                <w:szCs w:val="20"/>
              </w:rPr>
            </w:pPr>
            <w:r>
              <w:rPr>
                <w:rFonts w:cstheme="minorHAnsi"/>
                <w:sz w:val="20"/>
                <w:szCs w:val="20"/>
              </w:rPr>
              <w:t>2.20</w:t>
            </w:r>
          </w:p>
        </w:tc>
        <w:tc>
          <w:tcPr>
            <w:tcW w:w="1344" w:type="pct"/>
          </w:tcPr>
          <w:p w14:paraId="5CDADA37" w14:textId="3B584705" w:rsidR="00A042A7" w:rsidRPr="00375CC4" w:rsidRDefault="00632253" w:rsidP="00A042A7">
            <w:pPr>
              <w:contextualSpacing/>
              <w:rPr>
                <w:rFonts w:cstheme="minorHAnsi"/>
                <w:sz w:val="20"/>
                <w:szCs w:val="20"/>
              </w:rPr>
            </w:pPr>
            <w:r>
              <w:rPr>
                <w:rFonts w:cstheme="minorHAnsi"/>
                <w:sz w:val="20"/>
                <w:szCs w:val="20"/>
              </w:rPr>
              <w:t>6.8</w:t>
            </w:r>
          </w:p>
        </w:tc>
      </w:tr>
      <w:tr w:rsidR="00A042A7" w:rsidRPr="00375CC4" w14:paraId="0F8F800C" w14:textId="77777777" w:rsidTr="00375CC4">
        <w:tc>
          <w:tcPr>
            <w:tcW w:w="671" w:type="pct"/>
          </w:tcPr>
          <w:p w14:paraId="3684F240" w14:textId="77777777" w:rsidR="00A042A7" w:rsidRPr="00375CC4" w:rsidRDefault="00A042A7" w:rsidP="00A042A7">
            <w:pPr>
              <w:contextualSpacing/>
              <w:rPr>
                <w:rFonts w:cstheme="minorHAnsi"/>
                <w:sz w:val="20"/>
                <w:szCs w:val="20"/>
              </w:rPr>
            </w:pPr>
            <w:r w:rsidRPr="00375CC4">
              <w:rPr>
                <w:rFonts w:cstheme="minorHAnsi"/>
                <w:sz w:val="20"/>
                <w:szCs w:val="20"/>
              </w:rPr>
              <w:t>OR</w:t>
            </w:r>
          </w:p>
        </w:tc>
        <w:tc>
          <w:tcPr>
            <w:tcW w:w="1252" w:type="pct"/>
          </w:tcPr>
          <w:p w14:paraId="254E607C" w14:textId="2594E2C7" w:rsidR="00A042A7" w:rsidRPr="00375CC4" w:rsidRDefault="0029179B" w:rsidP="00A042A7">
            <w:pPr>
              <w:contextualSpacing/>
              <w:rPr>
                <w:rFonts w:cstheme="minorHAnsi"/>
                <w:sz w:val="20"/>
                <w:szCs w:val="20"/>
              </w:rPr>
            </w:pPr>
            <w:r>
              <w:rPr>
                <w:rFonts w:cstheme="minorHAnsi"/>
                <w:sz w:val="20"/>
                <w:szCs w:val="20"/>
              </w:rPr>
              <w:t>425</w:t>
            </w:r>
          </w:p>
        </w:tc>
        <w:tc>
          <w:tcPr>
            <w:tcW w:w="1299" w:type="pct"/>
          </w:tcPr>
          <w:p w14:paraId="4AD849B7" w14:textId="7D81B87C"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6690D50F" w14:textId="59ADD700" w:rsidR="00A042A7" w:rsidRPr="00375CC4" w:rsidRDefault="00A042A7" w:rsidP="00A042A7">
            <w:pPr>
              <w:contextualSpacing/>
              <w:rPr>
                <w:rFonts w:cstheme="minorHAnsi"/>
                <w:sz w:val="20"/>
                <w:szCs w:val="20"/>
              </w:rPr>
            </w:pPr>
            <w:r>
              <w:rPr>
                <w:rFonts w:cstheme="minorHAnsi"/>
                <w:sz w:val="20"/>
                <w:szCs w:val="20"/>
              </w:rPr>
              <w:t>1.76</w:t>
            </w:r>
          </w:p>
        </w:tc>
        <w:tc>
          <w:tcPr>
            <w:tcW w:w="1344" w:type="pct"/>
          </w:tcPr>
          <w:p w14:paraId="5D4A89A6" w14:textId="44A952E6" w:rsidR="00A042A7" w:rsidRPr="00375CC4" w:rsidRDefault="00632253" w:rsidP="00A042A7">
            <w:pPr>
              <w:contextualSpacing/>
              <w:rPr>
                <w:rFonts w:cstheme="minorHAnsi"/>
                <w:sz w:val="20"/>
                <w:szCs w:val="20"/>
              </w:rPr>
            </w:pPr>
            <w:r>
              <w:rPr>
                <w:rFonts w:cstheme="minorHAnsi"/>
                <w:sz w:val="20"/>
                <w:szCs w:val="20"/>
              </w:rPr>
              <w:t>6.3</w:t>
            </w:r>
          </w:p>
        </w:tc>
      </w:tr>
      <w:tr w:rsidR="00A042A7" w:rsidRPr="00375CC4" w14:paraId="17596496" w14:textId="77777777" w:rsidTr="00375CC4">
        <w:tc>
          <w:tcPr>
            <w:tcW w:w="671" w:type="pct"/>
          </w:tcPr>
          <w:p w14:paraId="0F2FFE91" w14:textId="77777777" w:rsidR="00A042A7" w:rsidRPr="00375CC4" w:rsidRDefault="00A042A7" w:rsidP="00A042A7">
            <w:pPr>
              <w:contextualSpacing/>
              <w:rPr>
                <w:rFonts w:cstheme="minorHAnsi"/>
                <w:sz w:val="20"/>
                <w:szCs w:val="20"/>
              </w:rPr>
            </w:pPr>
            <w:r w:rsidRPr="00375CC4">
              <w:rPr>
                <w:rFonts w:cstheme="minorHAnsi"/>
                <w:sz w:val="20"/>
                <w:szCs w:val="20"/>
              </w:rPr>
              <w:t>TX</w:t>
            </w:r>
          </w:p>
        </w:tc>
        <w:tc>
          <w:tcPr>
            <w:tcW w:w="1252" w:type="pct"/>
          </w:tcPr>
          <w:p w14:paraId="3F45A89D" w14:textId="5BCCAE9A" w:rsidR="00A042A7" w:rsidRPr="00375CC4" w:rsidRDefault="0029179B" w:rsidP="00A042A7">
            <w:pPr>
              <w:contextualSpacing/>
              <w:rPr>
                <w:rFonts w:cstheme="minorHAnsi"/>
                <w:sz w:val="20"/>
                <w:szCs w:val="20"/>
              </w:rPr>
            </w:pPr>
            <w:r>
              <w:rPr>
                <w:rFonts w:cstheme="minorHAnsi"/>
                <w:sz w:val="20"/>
                <w:szCs w:val="20"/>
              </w:rPr>
              <w:t>283</w:t>
            </w:r>
          </w:p>
        </w:tc>
        <w:tc>
          <w:tcPr>
            <w:tcW w:w="1299" w:type="pct"/>
          </w:tcPr>
          <w:p w14:paraId="6E6261C1" w14:textId="6DD8F6B6" w:rsidR="00A042A7" w:rsidRPr="00375CC4" w:rsidRDefault="0029179B" w:rsidP="00A042A7">
            <w:pPr>
              <w:contextualSpacing/>
              <w:rPr>
                <w:rFonts w:cstheme="minorHAnsi"/>
                <w:sz w:val="20"/>
                <w:szCs w:val="20"/>
              </w:rPr>
            </w:pPr>
            <w:r>
              <w:rPr>
                <w:rFonts w:cstheme="minorHAnsi"/>
                <w:sz w:val="20"/>
                <w:szCs w:val="20"/>
              </w:rPr>
              <w:t>140</w:t>
            </w:r>
          </w:p>
        </w:tc>
        <w:tc>
          <w:tcPr>
            <w:tcW w:w="434" w:type="pct"/>
          </w:tcPr>
          <w:p w14:paraId="4F4D1755" w14:textId="7D1DFAAE" w:rsidR="00A042A7" w:rsidRPr="00375CC4" w:rsidRDefault="00A042A7" w:rsidP="00A042A7">
            <w:pPr>
              <w:contextualSpacing/>
              <w:rPr>
                <w:rFonts w:cstheme="minorHAnsi"/>
                <w:sz w:val="20"/>
                <w:szCs w:val="20"/>
              </w:rPr>
            </w:pPr>
            <w:r>
              <w:rPr>
                <w:rFonts w:cstheme="minorHAnsi"/>
                <w:sz w:val="20"/>
                <w:szCs w:val="20"/>
              </w:rPr>
              <w:t>1.91</w:t>
            </w:r>
          </w:p>
        </w:tc>
        <w:tc>
          <w:tcPr>
            <w:tcW w:w="1344" w:type="pct"/>
          </w:tcPr>
          <w:p w14:paraId="5B84F936" w14:textId="2EDE115B" w:rsidR="00A042A7" w:rsidRPr="00375CC4" w:rsidRDefault="00632253" w:rsidP="00A042A7">
            <w:pPr>
              <w:contextualSpacing/>
              <w:rPr>
                <w:rFonts w:cstheme="minorHAnsi"/>
                <w:sz w:val="20"/>
                <w:szCs w:val="20"/>
              </w:rPr>
            </w:pPr>
            <w:r>
              <w:rPr>
                <w:rFonts w:cstheme="minorHAnsi"/>
                <w:sz w:val="20"/>
                <w:szCs w:val="20"/>
              </w:rPr>
              <w:t>6.6</w:t>
            </w:r>
          </w:p>
        </w:tc>
      </w:tr>
      <w:tr w:rsidR="00A042A7" w:rsidRPr="00375CC4" w14:paraId="088F55D0" w14:textId="77777777" w:rsidTr="00375CC4">
        <w:tc>
          <w:tcPr>
            <w:tcW w:w="671" w:type="pct"/>
          </w:tcPr>
          <w:p w14:paraId="5B748B68" w14:textId="77777777" w:rsidR="00A042A7" w:rsidRPr="00375CC4" w:rsidRDefault="00A042A7" w:rsidP="00A042A7">
            <w:pPr>
              <w:contextualSpacing/>
              <w:rPr>
                <w:rFonts w:cstheme="minorHAnsi"/>
                <w:sz w:val="20"/>
                <w:szCs w:val="20"/>
              </w:rPr>
            </w:pPr>
            <w:r w:rsidRPr="00375CC4">
              <w:rPr>
                <w:rFonts w:cstheme="minorHAnsi"/>
                <w:sz w:val="20"/>
                <w:szCs w:val="20"/>
              </w:rPr>
              <w:t>Atlanta</w:t>
            </w:r>
          </w:p>
        </w:tc>
        <w:tc>
          <w:tcPr>
            <w:tcW w:w="1252" w:type="pct"/>
          </w:tcPr>
          <w:p w14:paraId="21150879" w14:textId="565340A1" w:rsidR="00A042A7" w:rsidRPr="00375CC4" w:rsidRDefault="0029179B" w:rsidP="00A042A7">
            <w:pPr>
              <w:contextualSpacing/>
              <w:rPr>
                <w:rFonts w:cstheme="minorHAnsi"/>
                <w:sz w:val="20"/>
                <w:szCs w:val="20"/>
              </w:rPr>
            </w:pPr>
            <w:r>
              <w:rPr>
                <w:rFonts w:cstheme="minorHAnsi"/>
                <w:sz w:val="20"/>
                <w:szCs w:val="20"/>
              </w:rPr>
              <w:t>413</w:t>
            </w:r>
          </w:p>
        </w:tc>
        <w:tc>
          <w:tcPr>
            <w:tcW w:w="1299" w:type="pct"/>
          </w:tcPr>
          <w:p w14:paraId="3EF2CED1" w14:textId="748F5FD6"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03F4FEFF" w14:textId="0226E3B2" w:rsidR="00A042A7" w:rsidRPr="00375CC4" w:rsidRDefault="00A042A7" w:rsidP="00A042A7">
            <w:pPr>
              <w:contextualSpacing/>
              <w:rPr>
                <w:rFonts w:cstheme="minorHAnsi"/>
                <w:sz w:val="20"/>
                <w:szCs w:val="20"/>
              </w:rPr>
            </w:pPr>
            <w:r>
              <w:rPr>
                <w:rFonts w:cstheme="minorHAnsi"/>
                <w:sz w:val="20"/>
                <w:szCs w:val="20"/>
              </w:rPr>
              <w:t>2.46</w:t>
            </w:r>
          </w:p>
        </w:tc>
        <w:tc>
          <w:tcPr>
            <w:tcW w:w="1344" w:type="pct"/>
          </w:tcPr>
          <w:p w14:paraId="68E732A8" w14:textId="184C94B2" w:rsidR="00A042A7" w:rsidRPr="00375CC4" w:rsidRDefault="00632253" w:rsidP="00A042A7">
            <w:pPr>
              <w:contextualSpacing/>
              <w:rPr>
                <w:rFonts w:cstheme="minorHAnsi"/>
                <w:sz w:val="20"/>
                <w:szCs w:val="20"/>
              </w:rPr>
            </w:pPr>
            <w:r>
              <w:rPr>
                <w:rFonts w:cstheme="minorHAnsi"/>
                <w:sz w:val="20"/>
                <w:szCs w:val="20"/>
              </w:rPr>
              <w:t>7.6</w:t>
            </w:r>
          </w:p>
        </w:tc>
      </w:tr>
      <w:tr w:rsidR="00A042A7" w:rsidRPr="00375CC4" w14:paraId="6D36F469" w14:textId="77777777" w:rsidTr="00375CC4">
        <w:tc>
          <w:tcPr>
            <w:tcW w:w="671" w:type="pct"/>
          </w:tcPr>
          <w:p w14:paraId="7DDBCCEC" w14:textId="77777777" w:rsidR="00A042A7" w:rsidRPr="00375CC4" w:rsidRDefault="00A042A7" w:rsidP="00A042A7">
            <w:pPr>
              <w:contextualSpacing/>
              <w:rPr>
                <w:rFonts w:cstheme="minorHAnsi"/>
                <w:sz w:val="20"/>
                <w:szCs w:val="20"/>
              </w:rPr>
            </w:pPr>
            <w:r w:rsidRPr="00375CC4">
              <w:rPr>
                <w:rFonts w:cstheme="minorHAnsi"/>
                <w:sz w:val="20"/>
                <w:szCs w:val="20"/>
              </w:rPr>
              <w:t>Baltimore</w:t>
            </w:r>
          </w:p>
        </w:tc>
        <w:tc>
          <w:tcPr>
            <w:tcW w:w="1252" w:type="pct"/>
          </w:tcPr>
          <w:p w14:paraId="74517B0F" w14:textId="52E355E6" w:rsidR="00A042A7" w:rsidRPr="00375CC4" w:rsidRDefault="0029179B" w:rsidP="00A042A7">
            <w:pPr>
              <w:contextualSpacing/>
              <w:rPr>
                <w:rFonts w:cstheme="minorHAnsi"/>
                <w:sz w:val="20"/>
                <w:szCs w:val="20"/>
              </w:rPr>
            </w:pPr>
            <w:r>
              <w:rPr>
                <w:rFonts w:cstheme="minorHAnsi"/>
                <w:sz w:val="20"/>
                <w:szCs w:val="20"/>
              </w:rPr>
              <w:t>358</w:t>
            </w:r>
          </w:p>
        </w:tc>
        <w:tc>
          <w:tcPr>
            <w:tcW w:w="1299" w:type="pct"/>
          </w:tcPr>
          <w:p w14:paraId="74EADC11" w14:textId="3B5C9026"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71096E7C" w14:textId="28F9C828" w:rsidR="00A042A7" w:rsidRPr="00375CC4" w:rsidRDefault="00A042A7" w:rsidP="00A042A7">
            <w:pPr>
              <w:contextualSpacing/>
              <w:rPr>
                <w:rFonts w:cstheme="minorHAnsi"/>
                <w:sz w:val="20"/>
                <w:szCs w:val="20"/>
              </w:rPr>
            </w:pPr>
            <w:r>
              <w:rPr>
                <w:rFonts w:cstheme="minorHAnsi"/>
                <w:sz w:val="20"/>
                <w:szCs w:val="20"/>
              </w:rPr>
              <w:t>1.58</w:t>
            </w:r>
          </w:p>
        </w:tc>
        <w:tc>
          <w:tcPr>
            <w:tcW w:w="1344" w:type="pct"/>
          </w:tcPr>
          <w:p w14:paraId="11E0840F" w14:textId="4CF132D3" w:rsidR="00A042A7" w:rsidRPr="00375CC4" w:rsidRDefault="00632253" w:rsidP="00A042A7">
            <w:pPr>
              <w:contextualSpacing/>
              <w:rPr>
                <w:rFonts w:cstheme="minorHAnsi"/>
                <w:sz w:val="20"/>
                <w:szCs w:val="20"/>
              </w:rPr>
            </w:pPr>
            <w:r>
              <w:rPr>
                <w:rFonts w:cstheme="minorHAnsi"/>
                <w:sz w:val="20"/>
                <w:szCs w:val="20"/>
              </w:rPr>
              <w:t>6.5</w:t>
            </w:r>
          </w:p>
        </w:tc>
      </w:tr>
      <w:tr w:rsidR="00A042A7" w:rsidRPr="00375CC4" w14:paraId="62164035" w14:textId="77777777" w:rsidTr="00375CC4">
        <w:tc>
          <w:tcPr>
            <w:tcW w:w="671" w:type="pct"/>
          </w:tcPr>
          <w:p w14:paraId="704B4C7D" w14:textId="77777777" w:rsidR="00A042A7" w:rsidRPr="00375CC4" w:rsidRDefault="00A042A7" w:rsidP="00A042A7">
            <w:pPr>
              <w:contextualSpacing/>
              <w:rPr>
                <w:rFonts w:cstheme="minorHAnsi"/>
                <w:sz w:val="20"/>
                <w:szCs w:val="20"/>
              </w:rPr>
            </w:pPr>
            <w:r w:rsidRPr="00375CC4">
              <w:rPr>
                <w:rFonts w:cstheme="minorHAnsi"/>
                <w:sz w:val="20"/>
                <w:szCs w:val="20"/>
              </w:rPr>
              <w:t>Birmingham</w:t>
            </w:r>
          </w:p>
        </w:tc>
        <w:tc>
          <w:tcPr>
            <w:tcW w:w="1252" w:type="pct"/>
          </w:tcPr>
          <w:p w14:paraId="13C24A6E" w14:textId="76634A98" w:rsidR="00A042A7" w:rsidRPr="00375CC4" w:rsidRDefault="0029179B" w:rsidP="00A042A7">
            <w:pPr>
              <w:contextualSpacing/>
              <w:rPr>
                <w:rFonts w:cstheme="minorHAnsi"/>
                <w:sz w:val="20"/>
                <w:szCs w:val="20"/>
              </w:rPr>
            </w:pPr>
            <w:r>
              <w:rPr>
                <w:rFonts w:cstheme="minorHAnsi"/>
                <w:sz w:val="20"/>
                <w:szCs w:val="20"/>
              </w:rPr>
              <w:t>315</w:t>
            </w:r>
          </w:p>
        </w:tc>
        <w:tc>
          <w:tcPr>
            <w:tcW w:w="1299" w:type="pct"/>
          </w:tcPr>
          <w:p w14:paraId="1FAE0A8C" w14:textId="6912E1EF"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72D75341" w14:textId="11806B9F" w:rsidR="00A042A7" w:rsidRPr="00375CC4" w:rsidRDefault="00A042A7" w:rsidP="00A042A7">
            <w:pPr>
              <w:contextualSpacing/>
              <w:rPr>
                <w:rFonts w:cstheme="minorHAnsi"/>
                <w:sz w:val="20"/>
                <w:szCs w:val="20"/>
              </w:rPr>
            </w:pPr>
            <w:r>
              <w:rPr>
                <w:rFonts w:cstheme="minorHAnsi"/>
                <w:sz w:val="20"/>
                <w:szCs w:val="20"/>
              </w:rPr>
              <w:t>1.80</w:t>
            </w:r>
          </w:p>
        </w:tc>
        <w:tc>
          <w:tcPr>
            <w:tcW w:w="1344" w:type="pct"/>
          </w:tcPr>
          <w:p w14:paraId="49A1DFDF" w14:textId="5C37B167" w:rsidR="00A042A7" w:rsidRPr="00375CC4" w:rsidRDefault="00632253" w:rsidP="00A042A7">
            <w:pPr>
              <w:contextualSpacing/>
              <w:rPr>
                <w:rFonts w:cstheme="minorHAnsi"/>
                <w:sz w:val="20"/>
                <w:szCs w:val="20"/>
              </w:rPr>
            </w:pPr>
            <w:r>
              <w:rPr>
                <w:rFonts w:cstheme="minorHAnsi"/>
                <w:sz w:val="20"/>
                <w:szCs w:val="20"/>
              </w:rPr>
              <w:t>7.4</w:t>
            </w:r>
          </w:p>
        </w:tc>
      </w:tr>
      <w:tr w:rsidR="00A042A7" w:rsidRPr="00375CC4" w14:paraId="5C5E9CC7" w14:textId="77777777" w:rsidTr="00375CC4">
        <w:tc>
          <w:tcPr>
            <w:tcW w:w="671" w:type="pct"/>
          </w:tcPr>
          <w:p w14:paraId="0AAA1510" w14:textId="77777777" w:rsidR="00A042A7" w:rsidRPr="00375CC4" w:rsidRDefault="00A042A7" w:rsidP="00A042A7">
            <w:pPr>
              <w:contextualSpacing/>
              <w:rPr>
                <w:rFonts w:cstheme="minorHAnsi"/>
                <w:sz w:val="20"/>
                <w:szCs w:val="20"/>
              </w:rPr>
            </w:pPr>
            <w:r w:rsidRPr="00375CC4">
              <w:rPr>
                <w:rFonts w:cstheme="minorHAnsi"/>
                <w:sz w:val="20"/>
                <w:szCs w:val="20"/>
              </w:rPr>
              <w:t>Chicago</w:t>
            </w:r>
          </w:p>
        </w:tc>
        <w:tc>
          <w:tcPr>
            <w:tcW w:w="1252" w:type="pct"/>
          </w:tcPr>
          <w:p w14:paraId="39F6B831" w14:textId="5A319497" w:rsidR="00A042A7" w:rsidRPr="00375CC4" w:rsidRDefault="0029179B" w:rsidP="00A042A7">
            <w:pPr>
              <w:contextualSpacing/>
              <w:rPr>
                <w:rFonts w:cstheme="minorHAnsi"/>
                <w:sz w:val="20"/>
                <w:szCs w:val="20"/>
              </w:rPr>
            </w:pPr>
            <w:r>
              <w:rPr>
                <w:rFonts w:cstheme="minorHAnsi"/>
                <w:sz w:val="20"/>
                <w:szCs w:val="20"/>
              </w:rPr>
              <w:t>418</w:t>
            </w:r>
          </w:p>
        </w:tc>
        <w:tc>
          <w:tcPr>
            <w:tcW w:w="1299" w:type="pct"/>
          </w:tcPr>
          <w:p w14:paraId="4904FE2D" w14:textId="14728FC1"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5F97DE09" w14:textId="06AD6903" w:rsidR="00A042A7" w:rsidRPr="00375CC4" w:rsidRDefault="00A042A7" w:rsidP="00A042A7">
            <w:pPr>
              <w:contextualSpacing/>
              <w:rPr>
                <w:rFonts w:cstheme="minorHAnsi"/>
                <w:sz w:val="20"/>
                <w:szCs w:val="20"/>
              </w:rPr>
            </w:pPr>
            <w:r>
              <w:rPr>
                <w:rFonts w:cstheme="minorHAnsi"/>
                <w:sz w:val="20"/>
                <w:szCs w:val="20"/>
              </w:rPr>
              <w:t>2.16</w:t>
            </w:r>
          </w:p>
        </w:tc>
        <w:tc>
          <w:tcPr>
            <w:tcW w:w="1344" w:type="pct"/>
          </w:tcPr>
          <w:p w14:paraId="602DE95E" w14:textId="5F9D93B5" w:rsidR="00A042A7" w:rsidRPr="00375CC4" w:rsidRDefault="00632253" w:rsidP="00A042A7">
            <w:pPr>
              <w:contextualSpacing/>
              <w:rPr>
                <w:rFonts w:cstheme="minorHAnsi"/>
                <w:sz w:val="20"/>
                <w:szCs w:val="20"/>
              </w:rPr>
            </w:pPr>
            <w:r>
              <w:rPr>
                <w:rFonts w:cstheme="minorHAnsi"/>
                <w:sz w:val="20"/>
                <w:szCs w:val="20"/>
              </w:rPr>
              <w:t>7.0</w:t>
            </w:r>
          </w:p>
        </w:tc>
      </w:tr>
      <w:tr w:rsidR="00A042A7" w:rsidRPr="00375CC4" w14:paraId="0DFC3505" w14:textId="77777777" w:rsidTr="00375CC4">
        <w:tc>
          <w:tcPr>
            <w:tcW w:w="671" w:type="pct"/>
          </w:tcPr>
          <w:p w14:paraId="34B17222" w14:textId="77777777" w:rsidR="00A042A7" w:rsidRPr="00375CC4" w:rsidRDefault="00A042A7" w:rsidP="00A042A7">
            <w:pPr>
              <w:contextualSpacing/>
              <w:rPr>
                <w:rFonts w:cstheme="minorHAnsi"/>
                <w:sz w:val="20"/>
                <w:szCs w:val="20"/>
              </w:rPr>
            </w:pPr>
            <w:r w:rsidRPr="00375CC4">
              <w:rPr>
                <w:rFonts w:cstheme="minorHAnsi"/>
                <w:sz w:val="20"/>
                <w:szCs w:val="20"/>
              </w:rPr>
              <w:t>Cleveland</w:t>
            </w:r>
          </w:p>
        </w:tc>
        <w:tc>
          <w:tcPr>
            <w:tcW w:w="1252" w:type="pct"/>
          </w:tcPr>
          <w:p w14:paraId="16745526" w14:textId="3B1E49EF" w:rsidR="00A042A7" w:rsidRPr="00375CC4" w:rsidRDefault="0029179B" w:rsidP="00A042A7">
            <w:pPr>
              <w:contextualSpacing/>
              <w:rPr>
                <w:rFonts w:cstheme="minorHAnsi"/>
                <w:sz w:val="20"/>
                <w:szCs w:val="20"/>
              </w:rPr>
            </w:pPr>
            <w:r>
              <w:rPr>
                <w:rFonts w:cstheme="minorHAnsi"/>
                <w:sz w:val="20"/>
                <w:szCs w:val="20"/>
              </w:rPr>
              <w:t>404</w:t>
            </w:r>
          </w:p>
        </w:tc>
        <w:tc>
          <w:tcPr>
            <w:tcW w:w="1299" w:type="pct"/>
          </w:tcPr>
          <w:p w14:paraId="07F361A2" w14:textId="0A01913E"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1EF53AA0" w14:textId="45A25F0C" w:rsidR="00A042A7" w:rsidRPr="00375CC4" w:rsidRDefault="00A042A7" w:rsidP="00A042A7">
            <w:pPr>
              <w:contextualSpacing/>
              <w:rPr>
                <w:rFonts w:cstheme="minorHAnsi"/>
                <w:sz w:val="20"/>
                <w:szCs w:val="20"/>
              </w:rPr>
            </w:pPr>
            <w:r>
              <w:rPr>
                <w:rFonts w:cstheme="minorHAnsi"/>
                <w:sz w:val="20"/>
                <w:szCs w:val="20"/>
              </w:rPr>
              <w:t>1.78</w:t>
            </w:r>
          </w:p>
        </w:tc>
        <w:tc>
          <w:tcPr>
            <w:tcW w:w="1344" w:type="pct"/>
          </w:tcPr>
          <w:p w14:paraId="40D6DD7F" w14:textId="3B38780C" w:rsidR="00A042A7" w:rsidRPr="00375CC4" w:rsidRDefault="00632253" w:rsidP="00A042A7">
            <w:pPr>
              <w:contextualSpacing/>
              <w:rPr>
                <w:rFonts w:cstheme="minorHAnsi"/>
                <w:sz w:val="20"/>
                <w:szCs w:val="20"/>
              </w:rPr>
            </w:pPr>
            <w:r>
              <w:rPr>
                <w:rFonts w:cstheme="minorHAnsi"/>
                <w:sz w:val="20"/>
                <w:szCs w:val="20"/>
              </w:rPr>
              <w:t>6.5</w:t>
            </w:r>
          </w:p>
        </w:tc>
      </w:tr>
      <w:tr w:rsidR="00A042A7" w:rsidRPr="00375CC4" w14:paraId="651FCF3A" w14:textId="77777777" w:rsidTr="00375CC4">
        <w:tc>
          <w:tcPr>
            <w:tcW w:w="671" w:type="pct"/>
          </w:tcPr>
          <w:p w14:paraId="1F8AB92A" w14:textId="77777777" w:rsidR="00A042A7" w:rsidRPr="00375CC4" w:rsidRDefault="00A042A7" w:rsidP="00A042A7">
            <w:pPr>
              <w:contextualSpacing/>
              <w:rPr>
                <w:rFonts w:cstheme="minorHAnsi"/>
                <w:sz w:val="20"/>
                <w:szCs w:val="20"/>
              </w:rPr>
            </w:pPr>
            <w:r w:rsidRPr="00375CC4">
              <w:rPr>
                <w:rFonts w:cstheme="minorHAnsi"/>
                <w:sz w:val="20"/>
                <w:szCs w:val="20"/>
              </w:rPr>
              <w:t>Columbus</w:t>
            </w:r>
          </w:p>
        </w:tc>
        <w:tc>
          <w:tcPr>
            <w:tcW w:w="1252" w:type="pct"/>
          </w:tcPr>
          <w:p w14:paraId="27EE4A83" w14:textId="140730F1" w:rsidR="00A042A7" w:rsidRPr="00375CC4" w:rsidRDefault="0029179B" w:rsidP="00A042A7">
            <w:pPr>
              <w:contextualSpacing/>
              <w:rPr>
                <w:rFonts w:cstheme="minorHAnsi"/>
                <w:sz w:val="20"/>
                <w:szCs w:val="20"/>
              </w:rPr>
            </w:pPr>
            <w:r>
              <w:rPr>
                <w:rFonts w:cstheme="minorHAnsi"/>
                <w:sz w:val="20"/>
                <w:szCs w:val="20"/>
              </w:rPr>
              <w:t>373</w:t>
            </w:r>
          </w:p>
        </w:tc>
        <w:tc>
          <w:tcPr>
            <w:tcW w:w="1299" w:type="pct"/>
          </w:tcPr>
          <w:p w14:paraId="7BAD5DA6" w14:textId="792DBEDA"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44EEB63F" w14:textId="012529BA" w:rsidR="00A042A7" w:rsidRPr="00375CC4" w:rsidRDefault="00A042A7" w:rsidP="00A042A7">
            <w:pPr>
              <w:contextualSpacing/>
              <w:rPr>
                <w:rFonts w:cstheme="minorHAnsi"/>
                <w:sz w:val="20"/>
                <w:szCs w:val="20"/>
              </w:rPr>
            </w:pPr>
            <w:r>
              <w:rPr>
                <w:rFonts w:cstheme="minorHAnsi"/>
                <w:sz w:val="20"/>
                <w:szCs w:val="20"/>
              </w:rPr>
              <w:t>2.00</w:t>
            </w:r>
          </w:p>
        </w:tc>
        <w:tc>
          <w:tcPr>
            <w:tcW w:w="1344" w:type="pct"/>
          </w:tcPr>
          <w:p w14:paraId="14D25BFE" w14:textId="0062306A" w:rsidR="00A042A7" w:rsidRPr="00375CC4" w:rsidRDefault="00632253" w:rsidP="00A042A7">
            <w:pPr>
              <w:contextualSpacing/>
              <w:rPr>
                <w:rFonts w:cstheme="minorHAnsi"/>
                <w:sz w:val="20"/>
                <w:szCs w:val="20"/>
              </w:rPr>
            </w:pPr>
            <w:r>
              <w:rPr>
                <w:rFonts w:cstheme="minorHAnsi"/>
                <w:sz w:val="20"/>
                <w:szCs w:val="20"/>
              </w:rPr>
              <w:t>7.2</w:t>
            </w:r>
          </w:p>
        </w:tc>
      </w:tr>
      <w:tr w:rsidR="00A042A7" w:rsidRPr="00375CC4" w14:paraId="3A61BFA1" w14:textId="77777777" w:rsidTr="00375CC4">
        <w:tc>
          <w:tcPr>
            <w:tcW w:w="671" w:type="pct"/>
          </w:tcPr>
          <w:p w14:paraId="105DC781" w14:textId="77777777" w:rsidR="00A042A7" w:rsidRPr="00375CC4" w:rsidRDefault="00A042A7" w:rsidP="00A042A7">
            <w:pPr>
              <w:contextualSpacing/>
              <w:rPr>
                <w:rFonts w:cstheme="minorHAnsi"/>
                <w:sz w:val="20"/>
                <w:szCs w:val="20"/>
              </w:rPr>
            </w:pPr>
            <w:r w:rsidRPr="00375CC4">
              <w:rPr>
                <w:rFonts w:cstheme="minorHAnsi"/>
                <w:sz w:val="20"/>
                <w:szCs w:val="20"/>
              </w:rPr>
              <w:t>Phoenix</w:t>
            </w:r>
          </w:p>
        </w:tc>
        <w:tc>
          <w:tcPr>
            <w:tcW w:w="1252" w:type="pct"/>
          </w:tcPr>
          <w:p w14:paraId="78BB54C2" w14:textId="72ED3C3A" w:rsidR="00A042A7" w:rsidRPr="00375CC4" w:rsidRDefault="0029179B" w:rsidP="00A042A7">
            <w:pPr>
              <w:contextualSpacing/>
              <w:rPr>
                <w:rFonts w:cstheme="minorHAnsi"/>
                <w:sz w:val="20"/>
                <w:szCs w:val="20"/>
              </w:rPr>
            </w:pPr>
            <w:r>
              <w:rPr>
                <w:rFonts w:cstheme="minorHAnsi"/>
                <w:sz w:val="20"/>
                <w:szCs w:val="20"/>
              </w:rPr>
              <w:t>313</w:t>
            </w:r>
          </w:p>
        </w:tc>
        <w:tc>
          <w:tcPr>
            <w:tcW w:w="1299" w:type="pct"/>
          </w:tcPr>
          <w:p w14:paraId="45AF9FD2" w14:textId="3CAB7848"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7D93132D" w14:textId="09BE7A4C" w:rsidR="00A042A7" w:rsidRPr="00375CC4" w:rsidRDefault="00A042A7" w:rsidP="00A042A7">
            <w:pPr>
              <w:contextualSpacing/>
              <w:rPr>
                <w:rFonts w:cstheme="minorHAnsi"/>
                <w:sz w:val="20"/>
                <w:szCs w:val="20"/>
              </w:rPr>
            </w:pPr>
            <w:r>
              <w:rPr>
                <w:rFonts w:cstheme="minorHAnsi"/>
                <w:sz w:val="20"/>
                <w:szCs w:val="20"/>
              </w:rPr>
              <w:t>3.13</w:t>
            </w:r>
          </w:p>
        </w:tc>
        <w:tc>
          <w:tcPr>
            <w:tcW w:w="1344" w:type="pct"/>
          </w:tcPr>
          <w:p w14:paraId="0E53A807" w14:textId="51E813FF" w:rsidR="00A042A7" w:rsidRPr="00375CC4" w:rsidRDefault="00632253" w:rsidP="00A042A7">
            <w:pPr>
              <w:contextualSpacing/>
              <w:rPr>
                <w:rFonts w:cstheme="minorHAnsi"/>
                <w:sz w:val="20"/>
                <w:szCs w:val="20"/>
              </w:rPr>
            </w:pPr>
            <w:r>
              <w:rPr>
                <w:rFonts w:cstheme="minorHAnsi"/>
                <w:sz w:val="20"/>
                <w:szCs w:val="20"/>
              </w:rPr>
              <w:t>9.8</w:t>
            </w:r>
          </w:p>
        </w:tc>
      </w:tr>
      <w:tr w:rsidR="00A042A7" w:rsidRPr="00375CC4" w14:paraId="5F688F6F" w14:textId="77777777" w:rsidTr="00375CC4">
        <w:tc>
          <w:tcPr>
            <w:tcW w:w="671" w:type="pct"/>
          </w:tcPr>
          <w:p w14:paraId="530147F9" w14:textId="77777777" w:rsidR="00A042A7" w:rsidRPr="00375CC4" w:rsidRDefault="00A042A7" w:rsidP="00A042A7">
            <w:pPr>
              <w:contextualSpacing/>
              <w:rPr>
                <w:rFonts w:cstheme="minorHAnsi"/>
                <w:sz w:val="20"/>
                <w:szCs w:val="20"/>
              </w:rPr>
            </w:pPr>
            <w:r w:rsidRPr="00375CC4">
              <w:rPr>
                <w:rFonts w:cstheme="minorHAnsi"/>
                <w:sz w:val="20"/>
                <w:szCs w:val="20"/>
              </w:rPr>
              <w:t>Pittsburgh</w:t>
            </w:r>
          </w:p>
        </w:tc>
        <w:tc>
          <w:tcPr>
            <w:tcW w:w="1252" w:type="pct"/>
          </w:tcPr>
          <w:p w14:paraId="7332F60B" w14:textId="122C837F" w:rsidR="00A042A7" w:rsidRPr="00375CC4" w:rsidRDefault="0029179B" w:rsidP="00A042A7">
            <w:pPr>
              <w:contextualSpacing/>
              <w:rPr>
                <w:rFonts w:cstheme="minorHAnsi"/>
                <w:sz w:val="20"/>
                <w:szCs w:val="20"/>
              </w:rPr>
            </w:pPr>
            <w:r>
              <w:rPr>
                <w:rFonts w:cstheme="minorHAnsi"/>
                <w:sz w:val="20"/>
                <w:szCs w:val="20"/>
              </w:rPr>
              <w:t>389</w:t>
            </w:r>
          </w:p>
        </w:tc>
        <w:tc>
          <w:tcPr>
            <w:tcW w:w="1299" w:type="pct"/>
          </w:tcPr>
          <w:p w14:paraId="0515F4FE" w14:textId="19322452" w:rsidR="00A042A7" w:rsidRPr="00375CC4" w:rsidRDefault="006343C2" w:rsidP="00A042A7">
            <w:pPr>
              <w:contextualSpacing/>
              <w:rPr>
                <w:rFonts w:cstheme="minorHAnsi"/>
                <w:sz w:val="20"/>
                <w:szCs w:val="20"/>
              </w:rPr>
            </w:pPr>
            <w:r>
              <w:rPr>
                <w:rFonts w:cstheme="minorHAnsi"/>
                <w:sz w:val="20"/>
                <w:szCs w:val="20"/>
              </w:rPr>
              <w:t>0</w:t>
            </w:r>
          </w:p>
        </w:tc>
        <w:tc>
          <w:tcPr>
            <w:tcW w:w="434" w:type="pct"/>
          </w:tcPr>
          <w:p w14:paraId="36646474" w14:textId="6B667226" w:rsidR="00A042A7" w:rsidRPr="00375CC4" w:rsidRDefault="00A042A7" w:rsidP="00A042A7">
            <w:pPr>
              <w:contextualSpacing/>
              <w:rPr>
                <w:rFonts w:cstheme="minorHAnsi"/>
                <w:sz w:val="20"/>
                <w:szCs w:val="20"/>
              </w:rPr>
            </w:pPr>
            <w:r>
              <w:rPr>
                <w:rFonts w:cstheme="minorHAnsi"/>
                <w:sz w:val="20"/>
                <w:szCs w:val="20"/>
              </w:rPr>
              <w:t>1.62</w:t>
            </w:r>
          </w:p>
        </w:tc>
        <w:tc>
          <w:tcPr>
            <w:tcW w:w="1344" w:type="pct"/>
          </w:tcPr>
          <w:p w14:paraId="446E881D" w14:textId="4F53EE09" w:rsidR="00A042A7" w:rsidRPr="00375CC4" w:rsidRDefault="00632253" w:rsidP="00A042A7">
            <w:pPr>
              <w:contextualSpacing/>
              <w:rPr>
                <w:rFonts w:cstheme="minorHAnsi"/>
                <w:sz w:val="20"/>
                <w:szCs w:val="20"/>
              </w:rPr>
            </w:pPr>
            <w:r>
              <w:rPr>
                <w:rFonts w:cstheme="minorHAnsi"/>
                <w:sz w:val="20"/>
                <w:szCs w:val="20"/>
              </w:rPr>
              <w:t>6.3</w:t>
            </w:r>
          </w:p>
        </w:tc>
      </w:tr>
    </w:tbl>
    <w:p w14:paraId="6FFA35D8" w14:textId="77777777" w:rsidR="005E1BA2" w:rsidRPr="00E10118" w:rsidRDefault="005E1BA2" w:rsidP="00375CC4">
      <w:pPr>
        <w:spacing w:after="120" w:line="269" w:lineRule="auto"/>
        <w:rPr>
          <w:rFonts w:cstheme="minorHAnsi"/>
        </w:rPr>
      </w:pPr>
    </w:p>
    <w:p w14:paraId="44349B35" w14:textId="77777777" w:rsidR="00E73878" w:rsidRPr="00E73878" w:rsidRDefault="00E73878" w:rsidP="00E73878">
      <w:pPr>
        <w:shd w:val="clear" w:color="auto" w:fill="FFFFFF"/>
        <w:spacing w:before="100" w:beforeAutospacing="1" w:after="100" w:afterAutospacing="1" w:line="240" w:lineRule="auto"/>
        <w:rPr>
          <w:rFonts w:eastAsia="Times New Roman" w:cstheme="minorHAnsi"/>
          <w:color w:val="000000"/>
          <w:szCs w:val="24"/>
        </w:rPr>
      </w:pPr>
      <w:r w:rsidRPr="00E73878">
        <w:rPr>
          <w:rFonts w:eastAsia="Times New Roman" w:cstheme="minorHAnsi"/>
          <w:color w:val="000000"/>
          <w:szCs w:val="24"/>
        </w:rPr>
        <w:t>Research publications that use microdata from the COVID Impact Survey should cite as: </w:t>
      </w:r>
    </w:p>
    <w:p w14:paraId="31330E55" w14:textId="758795F2" w:rsidR="00E73878" w:rsidRPr="00E73878" w:rsidRDefault="00E73878" w:rsidP="00E73878">
      <w:pPr>
        <w:shd w:val="clear" w:color="auto" w:fill="FFFFFF"/>
        <w:spacing w:before="100" w:beforeAutospacing="1" w:after="100" w:afterAutospacing="1" w:line="240" w:lineRule="auto"/>
        <w:rPr>
          <w:rFonts w:eastAsia="Times New Roman" w:cstheme="minorHAnsi"/>
          <w:color w:val="000000"/>
          <w:szCs w:val="24"/>
        </w:rPr>
      </w:pPr>
      <w:r w:rsidRPr="00E73878">
        <w:rPr>
          <w:rFonts w:eastAsia="Times New Roman" w:cstheme="minorHAnsi"/>
          <w:i/>
          <w:iCs/>
          <w:color w:val="000000"/>
          <w:szCs w:val="24"/>
        </w:rPr>
        <w:t xml:space="preserve">Abigail Wozniak, Joe Willey, Jennifer Benz, and Nick Hart. COVID Impact Survey: Version </w:t>
      </w:r>
      <w:r w:rsidR="000F16D0">
        <w:rPr>
          <w:rFonts w:eastAsia="Times New Roman" w:cstheme="minorHAnsi"/>
          <w:i/>
          <w:iCs/>
          <w:color w:val="000000"/>
          <w:szCs w:val="24"/>
        </w:rPr>
        <w:t>2</w:t>
      </w:r>
      <w:r w:rsidR="00801B90">
        <w:rPr>
          <w:rFonts w:eastAsia="Times New Roman" w:cstheme="minorHAnsi"/>
          <w:i/>
          <w:iCs/>
          <w:color w:val="000000"/>
          <w:szCs w:val="24"/>
        </w:rPr>
        <w:t>.</w:t>
      </w:r>
      <w:bookmarkStart w:id="0" w:name="_GoBack"/>
      <w:r w:rsidR="00AD1AED">
        <w:rPr>
          <w:rFonts w:eastAsia="Times New Roman" w:cstheme="minorHAnsi"/>
          <w:i/>
          <w:iCs/>
          <w:color w:val="000000"/>
          <w:szCs w:val="24"/>
        </w:rPr>
        <w:t>2</w:t>
      </w:r>
      <w:r w:rsidR="00AD1AED" w:rsidRPr="00E73878">
        <w:rPr>
          <w:rFonts w:eastAsia="Times New Roman" w:cstheme="minorHAnsi"/>
          <w:i/>
          <w:iCs/>
          <w:color w:val="000000"/>
          <w:szCs w:val="24"/>
        </w:rPr>
        <w:t xml:space="preserve"> </w:t>
      </w:r>
      <w:bookmarkEnd w:id="0"/>
      <w:r w:rsidRPr="00E73878">
        <w:rPr>
          <w:rFonts w:eastAsia="Times New Roman" w:cstheme="minorHAnsi"/>
          <w:i/>
          <w:iCs/>
          <w:color w:val="000000"/>
          <w:szCs w:val="24"/>
        </w:rPr>
        <w:t>[dataset]. Chicago, IL: National Opinion Research Center, 2020.</w:t>
      </w:r>
    </w:p>
    <w:p w14:paraId="0EB990B3" w14:textId="77777777" w:rsidR="00E73878" w:rsidRPr="00E73878" w:rsidRDefault="00E73878" w:rsidP="00E73878">
      <w:pPr>
        <w:shd w:val="clear" w:color="auto" w:fill="FFFFFF"/>
        <w:spacing w:before="100" w:beforeAutospacing="1" w:after="100" w:afterAutospacing="1" w:line="240" w:lineRule="auto"/>
        <w:rPr>
          <w:rFonts w:eastAsia="Times New Roman" w:cstheme="minorHAnsi"/>
          <w:color w:val="000000"/>
          <w:szCs w:val="24"/>
        </w:rPr>
      </w:pPr>
      <w:r w:rsidRPr="00E73878">
        <w:rPr>
          <w:rFonts w:eastAsia="Times New Roman" w:cstheme="minorHAnsi"/>
          <w:color w:val="000000"/>
          <w:szCs w:val="24"/>
        </w:rPr>
        <w:t>Media articles and other publications should attribute as:</w:t>
      </w:r>
    </w:p>
    <w:p w14:paraId="7FF0D0E1" w14:textId="0A9CB8C0" w:rsidR="00E73878" w:rsidRPr="00E73878" w:rsidRDefault="00A55597" w:rsidP="00E73878">
      <w:pPr>
        <w:shd w:val="clear" w:color="auto" w:fill="FFFFFF"/>
        <w:spacing w:before="100" w:beforeAutospacing="1" w:after="100" w:afterAutospacing="1" w:line="240" w:lineRule="auto"/>
        <w:rPr>
          <w:rFonts w:eastAsia="Times New Roman" w:cstheme="minorHAnsi"/>
          <w:color w:val="000000"/>
          <w:szCs w:val="24"/>
        </w:rPr>
      </w:pPr>
      <w:hyperlink r:id="rId9" w:history="1">
        <w:r w:rsidR="00AE16B0" w:rsidRPr="00AE16B0">
          <w:rPr>
            <w:rStyle w:val="Hyperlink"/>
            <w:rFonts w:eastAsia="Times New Roman" w:cstheme="minorHAnsi"/>
            <w:i/>
            <w:iCs/>
            <w:szCs w:val="24"/>
          </w:rPr>
          <w:t>COVID</w:t>
        </w:r>
        <w:r w:rsidR="00E73878" w:rsidRPr="00AE16B0">
          <w:rPr>
            <w:rStyle w:val="Hyperlink"/>
            <w:rFonts w:eastAsia="Times New Roman" w:cstheme="minorHAnsi"/>
            <w:i/>
            <w:iCs/>
            <w:szCs w:val="24"/>
          </w:rPr>
          <w:t xml:space="preserve"> Impact Survey</w:t>
        </w:r>
      </w:hyperlink>
      <w:r w:rsidR="00E73878" w:rsidRPr="00E73878">
        <w:rPr>
          <w:rFonts w:eastAsia="Times New Roman" w:cstheme="minorHAnsi"/>
          <w:i/>
          <w:iCs/>
          <w:color w:val="000000"/>
          <w:szCs w:val="24"/>
        </w:rPr>
        <w:t xml:space="preserve">, conducted by NORC at the University of Chicago for the Data Foundation. </w:t>
      </w:r>
    </w:p>
    <w:p w14:paraId="7B211ABE" w14:textId="77777777" w:rsidR="00901E9F" w:rsidRPr="00E10118" w:rsidRDefault="00901E9F" w:rsidP="00375CC4">
      <w:pPr>
        <w:spacing w:after="120" w:line="269" w:lineRule="auto"/>
        <w:rPr>
          <w:rFonts w:cstheme="minorHAnsi"/>
        </w:rPr>
      </w:pPr>
    </w:p>
    <w:sectPr w:rsidR="00901E9F" w:rsidRPr="00E101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5426D" w14:textId="77777777" w:rsidR="00946FEB" w:rsidRDefault="00946FEB" w:rsidP="00612BD5">
      <w:pPr>
        <w:spacing w:after="0" w:line="240" w:lineRule="auto"/>
      </w:pPr>
      <w:r>
        <w:separator/>
      </w:r>
    </w:p>
  </w:endnote>
  <w:endnote w:type="continuationSeparator" w:id="0">
    <w:p w14:paraId="2DEBF894" w14:textId="77777777" w:rsidR="00946FEB" w:rsidRDefault="00946FEB" w:rsidP="0061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B7F14" w14:textId="77777777" w:rsidR="00946FEB" w:rsidRDefault="00946FEB" w:rsidP="00612BD5">
      <w:pPr>
        <w:spacing w:after="0" w:line="240" w:lineRule="auto"/>
      </w:pPr>
      <w:r>
        <w:separator/>
      </w:r>
    </w:p>
  </w:footnote>
  <w:footnote w:type="continuationSeparator" w:id="0">
    <w:p w14:paraId="61B7B12B" w14:textId="77777777" w:rsidR="00946FEB" w:rsidRDefault="00946FEB" w:rsidP="00612BD5">
      <w:pPr>
        <w:spacing w:after="0" w:line="240" w:lineRule="auto"/>
      </w:pPr>
      <w:r>
        <w:continuationSeparator/>
      </w:r>
    </w:p>
  </w:footnote>
  <w:footnote w:id="1">
    <w:p w14:paraId="67C9FBDB" w14:textId="77777777" w:rsidR="00801B90" w:rsidRDefault="00801B90" w:rsidP="00801B90">
      <w:pPr>
        <w:pStyle w:val="FootnoteText"/>
      </w:pPr>
      <w:r>
        <w:rPr>
          <w:rStyle w:val="FootnoteReference"/>
        </w:rPr>
        <w:footnoteRef/>
      </w:r>
      <w:r>
        <w:t xml:space="preserve"> </w:t>
      </w:r>
      <w:r w:rsidRPr="00801B90">
        <w:t>Due to an error in mail processing, the MT region field period was delayed. Data for MT were collected between May 8 and May 17,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A507" w14:textId="0CB75D00" w:rsidR="00612BD5" w:rsidRPr="00612BD5" w:rsidRDefault="00612BD5" w:rsidP="00612BD5">
    <w:pPr>
      <w:pStyle w:val="NormalWeb"/>
      <w:rPr>
        <w:b/>
        <w:bCs/>
      </w:rPr>
    </w:pPr>
    <w:r w:rsidRPr="00612BD5">
      <w:rPr>
        <w:rFonts w:ascii="Arial" w:hAnsi="Arial" w:cs="Arial"/>
        <w:b/>
        <w:bCs/>
        <w:sz w:val="16"/>
        <w:szCs w:val="16"/>
      </w:rPr>
      <w:t xml:space="preserve">COVID Impact Survey    </w:t>
    </w:r>
    <w:r w:rsidRPr="00612BD5">
      <w:rPr>
        <w:rFonts w:ascii="Arial" w:hAnsi="Arial" w:cs="Arial"/>
        <w:b/>
        <w:bCs/>
        <w:sz w:val="16"/>
        <w:szCs w:val="16"/>
      </w:rPr>
      <w:tab/>
    </w:r>
    <w:r w:rsidRPr="00612BD5">
      <w:rPr>
        <w:rFonts w:ascii="Arial" w:hAnsi="Arial" w:cs="Arial"/>
        <w:b/>
        <w:bCs/>
        <w:sz w:val="16"/>
        <w:szCs w:val="16"/>
      </w:rPr>
      <w:tab/>
    </w:r>
    <w:r w:rsidRPr="00612BD5">
      <w:rPr>
        <w:rFonts w:ascii="Arial" w:hAnsi="Arial" w:cs="Arial"/>
        <w:b/>
        <w:bCs/>
        <w:sz w:val="16"/>
        <w:szCs w:val="16"/>
      </w:rPr>
      <w:tab/>
      <w:t xml:space="preserve"> covid-impact.org </w:t>
    </w:r>
    <w:r w:rsidRPr="00612BD5">
      <w:rPr>
        <w:rFonts w:ascii="Arial" w:hAnsi="Arial" w:cs="Arial"/>
        <w:b/>
        <w:bCs/>
        <w:sz w:val="16"/>
        <w:szCs w:val="16"/>
      </w:rPr>
      <w:tab/>
    </w:r>
    <w:r w:rsidRPr="00612BD5">
      <w:rPr>
        <w:rFonts w:ascii="Arial" w:hAnsi="Arial" w:cs="Arial"/>
        <w:b/>
        <w:bCs/>
        <w:sz w:val="16"/>
        <w:szCs w:val="16"/>
      </w:rPr>
      <w:tab/>
    </w:r>
    <w:r w:rsidRPr="00612BD5">
      <w:rPr>
        <w:rFonts w:ascii="Arial" w:hAnsi="Arial" w:cs="Arial"/>
        <w:b/>
        <w:bCs/>
        <w:sz w:val="16"/>
        <w:szCs w:val="16"/>
      </w:rPr>
      <w:tab/>
    </w:r>
    <w:r w:rsidRPr="00612BD5">
      <w:rPr>
        <w:rFonts w:ascii="Arial" w:hAnsi="Arial" w:cs="Arial"/>
        <w:b/>
        <w:bCs/>
        <w:sz w:val="16"/>
        <w:szCs w:val="16"/>
      </w:rPr>
      <w:tab/>
    </w:r>
    <w:r w:rsidRPr="00612BD5">
      <w:rPr>
        <w:rFonts w:ascii="Arial" w:hAnsi="Arial" w:cs="Arial"/>
        <w:b/>
        <w:bCs/>
        <w:sz w:val="16"/>
        <w:szCs w:val="16"/>
      </w:rPr>
      <w:tab/>
      <w:t>@</w:t>
    </w:r>
    <w:proofErr w:type="spellStart"/>
    <w:r w:rsidRPr="00612BD5">
      <w:rPr>
        <w:rFonts w:ascii="Arial" w:hAnsi="Arial" w:cs="Arial"/>
        <w:b/>
        <w:bCs/>
        <w:sz w:val="16"/>
        <w:szCs w:val="16"/>
      </w:rPr>
      <w:t>COVIDImpact</w:t>
    </w:r>
    <w:proofErr w:type="spellEnd"/>
    <w:r w:rsidRPr="00612BD5">
      <w:rPr>
        <w:rFonts w:ascii="Arial" w:hAnsi="Arial" w:cs="Arial"/>
        <w:b/>
        <w:bCs/>
        <w:sz w:val="16"/>
        <w:szCs w:val="16"/>
      </w:rPr>
      <w:t xml:space="preserve"> </w:t>
    </w:r>
  </w:p>
  <w:p w14:paraId="09124B06" w14:textId="77777777" w:rsidR="00612BD5" w:rsidRDefault="00612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0A"/>
    <w:rsid w:val="00002150"/>
    <w:rsid w:val="00031192"/>
    <w:rsid w:val="0006385C"/>
    <w:rsid w:val="000F16D0"/>
    <w:rsid w:val="00116DC4"/>
    <w:rsid w:val="00151062"/>
    <w:rsid w:val="001A701A"/>
    <w:rsid w:val="001D4835"/>
    <w:rsid w:val="00220A05"/>
    <w:rsid w:val="00271CF5"/>
    <w:rsid w:val="0028570B"/>
    <w:rsid w:val="0029179B"/>
    <w:rsid w:val="002D4A0A"/>
    <w:rsid w:val="002F7B78"/>
    <w:rsid w:val="00344794"/>
    <w:rsid w:val="00375CC4"/>
    <w:rsid w:val="00391C02"/>
    <w:rsid w:val="003A015C"/>
    <w:rsid w:val="00433F57"/>
    <w:rsid w:val="00453925"/>
    <w:rsid w:val="005A02B9"/>
    <w:rsid w:val="005E1BA2"/>
    <w:rsid w:val="00600835"/>
    <w:rsid w:val="00612BD5"/>
    <w:rsid w:val="00621622"/>
    <w:rsid w:val="00632253"/>
    <w:rsid w:val="006343C2"/>
    <w:rsid w:val="00675721"/>
    <w:rsid w:val="007D79DB"/>
    <w:rsid w:val="00801B90"/>
    <w:rsid w:val="008038F2"/>
    <w:rsid w:val="008A5661"/>
    <w:rsid w:val="00901E9F"/>
    <w:rsid w:val="009205BF"/>
    <w:rsid w:val="00946FEB"/>
    <w:rsid w:val="009C0498"/>
    <w:rsid w:val="009D77EB"/>
    <w:rsid w:val="00A042A7"/>
    <w:rsid w:val="00A25771"/>
    <w:rsid w:val="00A2599F"/>
    <w:rsid w:val="00A3155D"/>
    <w:rsid w:val="00A55597"/>
    <w:rsid w:val="00AD1AED"/>
    <w:rsid w:val="00AD2D24"/>
    <w:rsid w:val="00AE16B0"/>
    <w:rsid w:val="00B4564C"/>
    <w:rsid w:val="00BA26A3"/>
    <w:rsid w:val="00BA62FF"/>
    <w:rsid w:val="00C56363"/>
    <w:rsid w:val="00C81F2F"/>
    <w:rsid w:val="00D33516"/>
    <w:rsid w:val="00DF3950"/>
    <w:rsid w:val="00DF4945"/>
    <w:rsid w:val="00E10118"/>
    <w:rsid w:val="00E552C9"/>
    <w:rsid w:val="00E73878"/>
    <w:rsid w:val="00EB150A"/>
    <w:rsid w:val="00F2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3129"/>
  <w15:chartTrackingRefBased/>
  <w15:docId w15:val="{29BDCC3C-F893-4CA9-A392-93D2548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DC4"/>
    <w:rPr>
      <w:color w:val="0000FF"/>
      <w:u w:val="single"/>
    </w:rPr>
  </w:style>
  <w:style w:type="character" w:styleId="CommentReference">
    <w:name w:val="annotation reference"/>
    <w:basedOn w:val="DefaultParagraphFont"/>
    <w:uiPriority w:val="99"/>
    <w:semiHidden/>
    <w:unhideWhenUsed/>
    <w:rsid w:val="00271CF5"/>
    <w:rPr>
      <w:sz w:val="16"/>
      <w:szCs w:val="16"/>
    </w:rPr>
  </w:style>
  <w:style w:type="paragraph" w:styleId="CommentText">
    <w:name w:val="annotation text"/>
    <w:basedOn w:val="Normal"/>
    <w:link w:val="CommentTextChar"/>
    <w:uiPriority w:val="99"/>
    <w:semiHidden/>
    <w:unhideWhenUsed/>
    <w:rsid w:val="00271CF5"/>
    <w:pPr>
      <w:spacing w:line="240" w:lineRule="auto"/>
    </w:pPr>
    <w:rPr>
      <w:sz w:val="20"/>
      <w:szCs w:val="20"/>
    </w:rPr>
  </w:style>
  <w:style w:type="character" w:customStyle="1" w:styleId="CommentTextChar">
    <w:name w:val="Comment Text Char"/>
    <w:basedOn w:val="DefaultParagraphFont"/>
    <w:link w:val="CommentText"/>
    <w:uiPriority w:val="99"/>
    <w:semiHidden/>
    <w:rsid w:val="00271CF5"/>
    <w:rPr>
      <w:sz w:val="20"/>
      <w:szCs w:val="20"/>
    </w:rPr>
  </w:style>
  <w:style w:type="paragraph" w:styleId="CommentSubject">
    <w:name w:val="annotation subject"/>
    <w:basedOn w:val="CommentText"/>
    <w:next w:val="CommentText"/>
    <w:link w:val="CommentSubjectChar"/>
    <w:uiPriority w:val="99"/>
    <w:semiHidden/>
    <w:unhideWhenUsed/>
    <w:rsid w:val="00271CF5"/>
    <w:rPr>
      <w:b/>
      <w:bCs/>
    </w:rPr>
  </w:style>
  <w:style w:type="character" w:customStyle="1" w:styleId="CommentSubjectChar">
    <w:name w:val="Comment Subject Char"/>
    <w:basedOn w:val="CommentTextChar"/>
    <w:link w:val="CommentSubject"/>
    <w:uiPriority w:val="99"/>
    <w:semiHidden/>
    <w:rsid w:val="00271CF5"/>
    <w:rPr>
      <w:b/>
      <w:bCs/>
      <w:sz w:val="20"/>
      <w:szCs w:val="20"/>
    </w:rPr>
  </w:style>
  <w:style w:type="paragraph" w:styleId="BalloonText">
    <w:name w:val="Balloon Text"/>
    <w:basedOn w:val="Normal"/>
    <w:link w:val="BalloonTextChar"/>
    <w:uiPriority w:val="99"/>
    <w:semiHidden/>
    <w:unhideWhenUsed/>
    <w:rsid w:val="0027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F5"/>
    <w:rPr>
      <w:rFonts w:ascii="Segoe UI" w:hAnsi="Segoe UI" w:cs="Segoe UI"/>
      <w:sz w:val="18"/>
      <w:szCs w:val="18"/>
    </w:rPr>
  </w:style>
  <w:style w:type="table" w:styleId="TableGrid">
    <w:name w:val="Table Grid"/>
    <w:basedOn w:val="TableNormal"/>
    <w:uiPriority w:val="39"/>
    <w:rsid w:val="0027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D5"/>
  </w:style>
  <w:style w:type="paragraph" w:styleId="Footer">
    <w:name w:val="footer"/>
    <w:basedOn w:val="Normal"/>
    <w:link w:val="FooterChar"/>
    <w:uiPriority w:val="99"/>
    <w:unhideWhenUsed/>
    <w:rsid w:val="0061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D5"/>
  </w:style>
  <w:style w:type="paragraph" w:styleId="NormalWeb">
    <w:name w:val="Normal (Web)"/>
    <w:basedOn w:val="Normal"/>
    <w:uiPriority w:val="99"/>
    <w:semiHidden/>
    <w:unhideWhenUsed/>
    <w:rsid w:val="00612BD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CCaption-Color">
    <w:name w:val="NORC Caption - Color"/>
    <w:qFormat/>
    <w:rsid w:val="00D33516"/>
    <w:rPr>
      <w:rFonts w:ascii="Arial" w:hAnsi="Arial"/>
      <w:b/>
      <w:color w:val="8AB3A4"/>
      <w:sz w:val="22"/>
    </w:rPr>
  </w:style>
  <w:style w:type="paragraph" w:styleId="ListParagraph">
    <w:name w:val="List Paragraph"/>
    <w:basedOn w:val="Normal"/>
    <w:uiPriority w:val="34"/>
    <w:qFormat/>
    <w:rsid w:val="00D33516"/>
    <w:pPr>
      <w:spacing w:after="0" w:line="240" w:lineRule="auto"/>
      <w:ind w:left="720"/>
      <w:contextualSpacing/>
    </w:pPr>
    <w:rPr>
      <w:rFonts w:ascii="Calibri" w:eastAsia="Calibri" w:hAnsi="Calibri" w:cs="Times New Roman"/>
    </w:rPr>
  </w:style>
  <w:style w:type="character" w:styleId="Emphasis">
    <w:name w:val="Emphasis"/>
    <w:basedOn w:val="DefaultParagraphFont"/>
    <w:uiPriority w:val="20"/>
    <w:qFormat/>
    <w:rsid w:val="00E73878"/>
    <w:rPr>
      <w:i/>
      <w:iCs/>
    </w:rPr>
  </w:style>
  <w:style w:type="paragraph" w:styleId="FootnoteText">
    <w:name w:val="footnote text"/>
    <w:basedOn w:val="Normal"/>
    <w:link w:val="FootnoteTextChar"/>
    <w:uiPriority w:val="99"/>
    <w:semiHidden/>
    <w:unhideWhenUsed/>
    <w:rsid w:val="000F1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6D0"/>
    <w:rPr>
      <w:sz w:val="20"/>
      <w:szCs w:val="20"/>
    </w:rPr>
  </w:style>
  <w:style w:type="character" w:styleId="FootnoteReference">
    <w:name w:val="footnote reference"/>
    <w:basedOn w:val="DefaultParagraphFont"/>
    <w:uiPriority w:val="99"/>
    <w:semiHidden/>
    <w:unhideWhenUsed/>
    <w:rsid w:val="000F1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1856">
      <w:bodyDiv w:val="1"/>
      <w:marLeft w:val="0"/>
      <w:marRight w:val="0"/>
      <w:marTop w:val="0"/>
      <w:marBottom w:val="0"/>
      <w:divBdr>
        <w:top w:val="none" w:sz="0" w:space="0" w:color="auto"/>
        <w:left w:val="none" w:sz="0" w:space="0" w:color="auto"/>
        <w:bottom w:val="none" w:sz="0" w:space="0" w:color="auto"/>
        <w:right w:val="none" w:sz="0" w:space="0" w:color="auto"/>
      </w:divBdr>
    </w:div>
    <w:div w:id="675305223">
      <w:bodyDiv w:val="1"/>
      <w:marLeft w:val="0"/>
      <w:marRight w:val="0"/>
      <w:marTop w:val="0"/>
      <w:marBottom w:val="0"/>
      <w:divBdr>
        <w:top w:val="none" w:sz="0" w:space="0" w:color="auto"/>
        <w:left w:val="none" w:sz="0" w:space="0" w:color="auto"/>
        <w:bottom w:val="none" w:sz="0" w:space="0" w:color="auto"/>
        <w:right w:val="none" w:sz="0" w:space="0" w:color="auto"/>
      </w:divBdr>
    </w:div>
    <w:div w:id="697975088">
      <w:bodyDiv w:val="1"/>
      <w:marLeft w:val="0"/>
      <w:marRight w:val="0"/>
      <w:marTop w:val="0"/>
      <w:marBottom w:val="0"/>
      <w:divBdr>
        <w:top w:val="none" w:sz="0" w:space="0" w:color="auto"/>
        <w:left w:val="none" w:sz="0" w:space="0" w:color="auto"/>
        <w:bottom w:val="none" w:sz="0" w:space="0" w:color="auto"/>
        <w:right w:val="none" w:sz="0" w:space="0" w:color="auto"/>
      </w:divBdr>
    </w:div>
    <w:div w:id="778332897">
      <w:bodyDiv w:val="1"/>
      <w:marLeft w:val="0"/>
      <w:marRight w:val="0"/>
      <w:marTop w:val="0"/>
      <w:marBottom w:val="0"/>
      <w:divBdr>
        <w:top w:val="none" w:sz="0" w:space="0" w:color="auto"/>
        <w:left w:val="none" w:sz="0" w:space="0" w:color="auto"/>
        <w:bottom w:val="none" w:sz="0" w:space="0" w:color="auto"/>
        <w:right w:val="none" w:sz="0" w:space="0" w:color="auto"/>
      </w:divBdr>
    </w:div>
    <w:div w:id="835607716">
      <w:bodyDiv w:val="1"/>
      <w:marLeft w:val="0"/>
      <w:marRight w:val="0"/>
      <w:marTop w:val="0"/>
      <w:marBottom w:val="0"/>
      <w:divBdr>
        <w:top w:val="none" w:sz="0" w:space="0" w:color="auto"/>
        <w:left w:val="none" w:sz="0" w:space="0" w:color="auto"/>
        <w:bottom w:val="none" w:sz="0" w:space="0" w:color="auto"/>
        <w:right w:val="none" w:sz="0" w:space="0" w:color="auto"/>
      </w:divBdr>
      <w:divsChild>
        <w:div w:id="648166459">
          <w:marLeft w:val="0"/>
          <w:marRight w:val="0"/>
          <w:marTop w:val="0"/>
          <w:marBottom w:val="0"/>
          <w:divBdr>
            <w:top w:val="none" w:sz="0" w:space="0" w:color="auto"/>
            <w:left w:val="none" w:sz="0" w:space="0" w:color="auto"/>
            <w:bottom w:val="none" w:sz="0" w:space="0" w:color="auto"/>
            <w:right w:val="none" w:sz="0" w:space="0" w:color="auto"/>
          </w:divBdr>
          <w:divsChild>
            <w:div w:id="2130664889">
              <w:marLeft w:val="0"/>
              <w:marRight w:val="0"/>
              <w:marTop w:val="0"/>
              <w:marBottom w:val="0"/>
              <w:divBdr>
                <w:top w:val="none" w:sz="0" w:space="0" w:color="auto"/>
                <w:left w:val="none" w:sz="0" w:space="0" w:color="auto"/>
                <w:bottom w:val="none" w:sz="0" w:space="0" w:color="auto"/>
                <w:right w:val="none" w:sz="0" w:space="0" w:color="auto"/>
              </w:divBdr>
              <w:divsChild>
                <w:div w:id="991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0410">
      <w:bodyDiv w:val="1"/>
      <w:marLeft w:val="0"/>
      <w:marRight w:val="0"/>
      <w:marTop w:val="0"/>
      <w:marBottom w:val="0"/>
      <w:divBdr>
        <w:top w:val="none" w:sz="0" w:space="0" w:color="auto"/>
        <w:left w:val="none" w:sz="0" w:space="0" w:color="auto"/>
        <w:bottom w:val="none" w:sz="0" w:space="0" w:color="auto"/>
        <w:right w:val="none" w:sz="0" w:space="0" w:color="auto"/>
      </w:divBdr>
    </w:div>
    <w:div w:id="20464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impactsurvey@datafoundation.org" TargetMode="External"/><Relationship Id="rId3" Type="http://schemas.openxmlformats.org/officeDocument/2006/relationships/settings" Target="settings.xml"/><Relationship Id="rId7" Type="http://schemas.openxmlformats.org/officeDocument/2006/relationships/hyperlink" Target="https://www.covid-impa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vid-i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CA18-E133-4F2F-A86F-890DE645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Benz</dc:creator>
  <cp:keywords/>
  <dc:description/>
  <cp:lastModifiedBy>Daniel Malato</cp:lastModifiedBy>
  <cp:revision>7</cp:revision>
  <dcterms:created xsi:type="dcterms:W3CDTF">2020-05-15T16:14:00Z</dcterms:created>
  <dcterms:modified xsi:type="dcterms:W3CDTF">2020-06-09T20:01:00Z</dcterms:modified>
</cp:coreProperties>
</file>